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DE30" w14:textId="4F5D6339" w:rsidR="00DF3923" w:rsidRDefault="00DF3923" w:rsidP="001163D5">
      <w:pPr>
        <w:pStyle w:val="NormalWeb"/>
        <w:spacing w:before="0" w:beforeAutospacing="0" w:after="0" w:afterAutospacing="0" w:line="360" w:lineRule="auto"/>
        <w:rPr>
          <w:rStyle w:val="Strong"/>
          <w:rFonts w:asciiTheme="minorBidi" w:hAnsiTheme="minorBidi" w:cstheme="minorBidi"/>
          <w:color w:val="0E101A"/>
          <w:sz w:val="32"/>
          <w:szCs w:val="32"/>
          <w:u w:val="single"/>
        </w:rPr>
      </w:pPr>
      <w:r w:rsidRPr="001163D5">
        <w:rPr>
          <w:rStyle w:val="Strong"/>
          <w:rFonts w:asciiTheme="minorBidi" w:hAnsiTheme="minorBidi" w:cstheme="minorBidi"/>
          <w:color w:val="0E101A"/>
          <w:sz w:val="32"/>
          <w:szCs w:val="32"/>
          <w:u w:val="single"/>
        </w:rPr>
        <w:t>Parkinson’s – what can we learn from outside healthcare?</w:t>
      </w:r>
    </w:p>
    <w:p w14:paraId="4CB47373" w14:textId="1018E27D" w:rsidR="00656072" w:rsidRPr="00656072" w:rsidRDefault="00656072" w:rsidP="00656072">
      <w:pPr>
        <w:pStyle w:val="NormalWeb"/>
        <w:spacing w:before="0" w:beforeAutospacing="0" w:after="0" w:afterAutospacing="0" w:line="360" w:lineRule="auto"/>
        <w:jc w:val="center"/>
        <w:rPr>
          <w:rStyle w:val="Strong"/>
          <w:rFonts w:asciiTheme="minorBidi" w:hAnsiTheme="minorBidi" w:cstheme="minorBidi"/>
          <w:b w:val="0"/>
          <w:bCs w:val="0"/>
          <w:color w:val="0E101A"/>
          <w:sz w:val="20"/>
          <w:szCs w:val="20"/>
        </w:rPr>
      </w:pPr>
      <w:r>
        <w:rPr>
          <w:rStyle w:val="Strong"/>
          <w:rFonts w:asciiTheme="minorBidi" w:hAnsiTheme="minorBidi" w:cstheme="minorBidi"/>
          <w:b w:val="0"/>
          <w:bCs w:val="0"/>
          <w:color w:val="0E101A"/>
          <w:sz w:val="20"/>
          <w:szCs w:val="20"/>
        </w:rPr>
        <w:t>Isabelle Shaw</w:t>
      </w:r>
    </w:p>
    <w:p w14:paraId="1302DB63" w14:textId="77777777" w:rsidR="001163D5" w:rsidRPr="001163D5" w:rsidRDefault="001163D5" w:rsidP="001163D5">
      <w:pPr>
        <w:pStyle w:val="NormalWeb"/>
        <w:spacing w:before="0" w:beforeAutospacing="0" w:after="0" w:afterAutospacing="0" w:line="360" w:lineRule="auto"/>
        <w:rPr>
          <w:rFonts w:asciiTheme="minorBidi" w:hAnsiTheme="minorBidi" w:cstheme="minorBidi"/>
          <w:color w:val="0E101A"/>
          <w:sz w:val="32"/>
          <w:szCs w:val="32"/>
          <w:u w:val="single"/>
        </w:rPr>
      </w:pPr>
    </w:p>
    <w:p w14:paraId="6400DC22" w14:textId="77777777"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p>
    <w:p w14:paraId="1009F892" w14:textId="542E626C"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Style w:val="Emphasis"/>
          <w:rFonts w:asciiTheme="minorBidi" w:hAnsiTheme="minorBidi" w:cstheme="minorBidi"/>
          <w:color w:val="0E101A"/>
        </w:rPr>
        <w:t xml:space="preserve">The first time I met a patient </w:t>
      </w:r>
      <w:r w:rsidR="00FF1863">
        <w:rPr>
          <w:rStyle w:val="Emphasis"/>
          <w:rFonts w:asciiTheme="minorBidi" w:hAnsiTheme="minorBidi" w:cstheme="minorBidi"/>
          <w:color w:val="0E101A"/>
        </w:rPr>
        <w:t>with</w:t>
      </w:r>
      <w:r w:rsidRPr="001163D5">
        <w:rPr>
          <w:rStyle w:val="Emphasis"/>
          <w:rFonts w:asciiTheme="minorBidi" w:hAnsiTheme="minorBidi" w:cstheme="minorBidi"/>
          <w:color w:val="0E101A"/>
        </w:rPr>
        <w:t xml:space="preserve"> Parkinsons disease. I have to say the encounter was nothing like I expected. I had studied textbooks filled with characteristic features, clinical signs and pharmacological therapies. When I called Mr T from the waiting room he slowly but purposefully made his way toward me. During that consultation, I noticed his pill-rolling tremor, and his stiff, shuffling gait. But he also told me about all the things I had not read in my trusty textbooks. How he had noticed his handwriting changing in his daily diary entries, long before he sought help from his doctor. How he believed physical exercise to be the best way to slow the progression of the disease. And how walking with a stick had been his saving grace, letting him forget about his “droopy arm”. </w:t>
      </w:r>
    </w:p>
    <w:p w14:paraId="1EC33B36" w14:textId="77777777" w:rsidR="00FF1863" w:rsidRDefault="00FF1863" w:rsidP="001163D5">
      <w:pPr>
        <w:pStyle w:val="NormalWeb"/>
        <w:spacing w:before="0" w:beforeAutospacing="0" w:after="0" w:afterAutospacing="0" w:line="360" w:lineRule="auto"/>
        <w:rPr>
          <w:rStyle w:val="Emphasis"/>
          <w:rFonts w:asciiTheme="minorBidi" w:hAnsiTheme="minorBidi" w:cstheme="minorBidi"/>
          <w:color w:val="0E101A"/>
        </w:rPr>
      </w:pPr>
    </w:p>
    <w:p w14:paraId="6991A1F3" w14:textId="6B39AD88"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Style w:val="Emphasis"/>
          <w:rFonts w:asciiTheme="minorBidi" w:hAnsiTheme="minorBidi" w:cstheme="minorBidi"/>
          <w:color w:val="0E101A"/>
        </w:rPr>
        <w:t>As I near the end of medical school I reflect on all the instances where I have encountered Parkinson’s. I have seen Parkinson’s be misdiagnosed and missed. I have met patients who are seriously ill themselves but are solely concerned about returning home to care for their loved one who has Parkinson’s. Finally, I have seen relations and friends adapt to the challenges that the disease brings. The theme that runs through all of these interactions is a need for access to care and support. What can we learn from other industries? How can we achieve reliable, flexible, and rapid access to care? How can we prepare patients for the overwhelming journey ahead? In this essay, I will explore the lessons that can be learned from the aviation industry. I will discuss how an alternative perspective could minimise harm and regain control for those living with Parkinson’s.</w:t>
      </w:r>
    </w:p>
    <w:p w14:paraId="12FEC7DD" w14:textId="77777777"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p>
    <w:p w14:paraId="534621EE" w14:textId="77777777" w:rsidR="00DF3923" w:rsidRPr="001163D5" w:rsidRDefault="00DF3923" w:rsidP="002D698E">
      <w:pPr>
        <w:pStyle w:val="NormalWeb"/>
        <w:spacing w:before="0" w:beforeAutospacing="0" w:after="0" w:afterAutospacing="0" w:line="360" w:lineRule="auto"/>
        <w:jc w:val="center"/>
        <w:rPr>
          <w:rFonts w:asciiTheme="minorBidi" w:hAnsiTheme="minorBidi" w:cstheme="minorBidi"/>
          <w:color w:val="0E101A"/>
        </w:rPr>
      </w:pPr>
      <w:r w:rsidRPr="001163D5">
        <w:rPr>
          <w:rStyle w:val="Strong"/>
          <w:rFonts w:asciiTheme="minorBidi" w:hAnsiTheme="minorBidi" w:cstheme="minorBidi"/>
          <w:color w:val="0E101A"/>
        </w:rPr>
        <w:t>Why do Parkinson’s patients need access to Healthcare?</w:t>
      </w:r>
    </w:p>
    <w:p w14:paraId="7894A36F" w14:textId="665987C0" w:rsidR="00DF3923" w:rsidRPr="001163D5" w:rsidRDefault="00DF3923" w:rsidP="008F74C1">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t>Parkinson’s is a neurodegenerative disease which impairs the brain’s ability to produce dopamine, there is currently no cure. People affected by Parkinson’s typically experience bradykinesia, rigidity and tremor. But symptoms are varied and often include speech, memory and mood problems</w:t>
      </w:r>
      <w:r w:rsidR="002D698E">
        <w:rPr>
          <w:rFonts w:asciiTheme="minorBidi" w:hAnsiTheme="minorBidi" w:cstheme="minorBidi"/>
          <w:color w:val="0E101A"/>
          <w:vertAlign w:val="superscript"/>
        </w:rPr>
        <w:t>1</w:t>
      </w:r>
      <w:r w:rsidRPr="001163D5">
        <w:rPr>
          <w:rFonts w:asciiTheme="minorBidi" w:hAnsiTheme="minorBidi" w:cstheme="minorBidi"/>
          <w:color w:val="0E101A"/>
        </w:rPr>
        <w:t xml:space="preserve">. In advanced disease, patients need frequent </w:t>
      </w:r>
      <w:r w:rsidRPr="001163D5">
        <w:rPr>
          <w:rFonts w:asciiTheme="minorBidi" w:hAnsiTheme="minorBidi" w:cstheme="minorBidi"/>
          <w:color w:val="0E101A"/>
        </w:rPr>
        <w:lastRenderedPageBreak/>
        <w:t>input from health professionals and carers. According to the 2018-19 English Hospitals Admissions statistics, there were 6,878 hospital admissions due to Parkinson’s disease. Over half of these were emergency admissions. The mean length of stay was 15 days</w:t>
      </w:r>
      <w:r w:rsidR="002D698E">
        <w:rPr>
          <w:rFonts w:asciiTheme="minorBidi" w:hAnsiTheme="minorBidi" w:cstheme="minorBidi"/>
          <w:color w:val="0E101A"/>
          <w:vertAlign w:val="superscript"/>
        </w:rPr>
        <w:t>2</w:t>
      </w:r>
      <w:r w:rsidRPr="001163D5">
        <w:rPr>
          <w:rFonts w:asciiTheme="minorBidi" w:hAnsiTheme="minorBidi" w:cstheme="minorBidi"/>
          <w:color w:val="0E101A"/>
        </w:rPr>
        <w:t>. The most common reasons for admissions in Parkinson’s patients are falls, urinary tract infections and Parkinson’s dementia</w:t>
      </w:r>
      <w:r w:rsidR="002D698E">
        <w:rPr>
          <w:rFonts w:asciiTheme="minorBidi" w:hAnsiTheme="minorBidi" w:cstheme="minorBidi"/>
          <w:color w:val="0E101A"/>
          <w:vertAlign w:val="superscript"/>
        </w:rPr>
        <w:t>3</w:t>
      </w:r>
      <w:r w:rsidRPr="001163D5">
        <w:rPr>
          <w:rFonts w:asciiTheme="minorBidi" w:hAnsiTheme="minorBidi" w:cstheme="minorBidi"/>
          <w:color w:val="0E101A"/>
        </w:rPr>
        <w:t>. Poor standards of care for Parkinson’s patients in the hospital have been identified by specialist clinicians. Suggestions for improvement include specialist nurse input, and early identification of inpatients with Parkinson’s</w:t>
      </w:r>
      <w:r w:rsidR="00B3034C">
        <w:rPr>
          <w:rFonts w:asciiTheme="minorBidi" w:hAnsiTheme="minorBidi" w:cstheme="minorBidi"/>
          <w:color w:val="0E101A"/>
          <w:vertAlign w:val="superscript"/>
        </w:rPr>
        <w:t>4</w:t>
      </w:r>
      <w:r w:rsidRPr="001163D5">
        <w:rPr>
          <w:rFonts w:asciiTheme="minorBidi" w:hAnsiTheme="minorBidi" w:cstheme="minorBidi"/>
          <w:color w:val="0E101A"/>
        </w:rPr>
        <w:t>. There is far more to managing Parkinson’s than my textbooks might have suggested and a holistic approach is required. To achieve this multi-disciplinary teams must engage with patients and their carers, and a system must be set up to account for unpredictable levels of need. The question is how do we prepare for a journey when we cannot see what lies ahead?</w:t>
      </w:r>
    </w:p>
    <w:p w14:paraId="794EC165" w14:textId="77777777"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p>
    <w:p w14:paraId="5D5E4B6E" w14:textId="77777777" w:rsidR="00DF3923" w:rsidRPr="001163D5" w:rsidRDefault="00DF3923" w:rsidP="002D698E">
      <w:pPr>
        <w:pStyle w:val="NormalWeb"/>
        <w:spacing w:before="0" w:beforeAutospacing="0" w:after="0" w:afterAutospacing="0" w:line="360" w:lineRule="auto"/>
        <w:jc w:val="center"/>
        <w:rPr>
          <w:rFonts w:asciiTheme="minorBidi" w:hAnsiTheme="minorBidi" w:cstheme="minorBidi"/>
          <w:color w:val="0E101A"/>
        </w:rPr>
      </w:pPr>
      <w:r w:rsidRPr="001163D5">
        <w:rPr>
          <w:rStyle w:val="Strong"/>
          <w:rFonts w:asciiTheme="minorBidi" w:hAnsiTheme="minorBidi" w:cstheme="minorBidi"/>
          <w:color w:val="0E101A"/>
        </w:rPr>
        <w:t>Aviation and the journey ahead</w:t>
      </w:r>
    </w:p>
    <w:p w14:paraId="0580B207" w14:textId="78DF7C70" w:rsidR="00DF3923"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t>Think about the last time you boarded a plane. Your journey will be shorter and far less turbulent than a patient with Parkinson</w:t>
      </w:r>
      <w:r w:rsidR="00BD484A">
        <w:rPr>
          <w:rFonts w:asciiTheme="minorBidi" w:hAnsiTheme="minorBidi" w:cstheme="minorBidi"/>
          <w:color w:val="0E101A"/>
        </w:rPr>
        <w:t>’</w:t>
      </w:r>
      <w:r w:rsidRPr="001163D5">
        <w:rPr>
          <w:rFonts w:asciiTheme="minorBidi" w:hAnsiTheme="minorBidi" w:cstheme="minorBidi"/>
          <w:color w:val="0E101A"/>
        </w:rPr>
        <w:t>s 20-30 year journey</w:t>
      </w:r>
      <w:r w:rsidR="00B3034C">
        <w:rPr>
          <w:rFonts w:asciiTheme="minorBidi" w:hAnsiTheme="minorBidi" w:cstheme="minorBidi"/>
          <w:color w:val="0E101A"/>
          <w:vertAlign w:val="superscript"/>
        </w:rPr>
        <w:t>5</w:t>
      </w:r>
      <w:r w:rsidRPr="001163D5">
        <w:rPr>
          <w:rFonts w:asciiTheme="minorBidi" w:hAnsiTheme="minorBidi" w:cstheme="minorBidi"/>
          <w:color w:val="0E101A"/>
        </w:rPr>
        <w:t>. Nonetheless, there are lessons to be learned from the way that the aviation industry prepares its passengers for this journey.</w:t>
      </w:r>
      <w:r w:rsidR="00B75551">
        <w:rPr>
          <w:rFonts w:asciiTheme="minorBidi" w:hAnsiTheme="minorBidi" w:cstheme="minorBidi"/>
          <w:color w:val="0E101A"/>
        </w:rPr>
        <w:t xml:space="preserve"> </w:t>
      </w:r>
      <w:r w:rsidR="00B75551" w:rsidRPr="001163D5">
        <w:rPr>
          <w:rFonts w:asciiTheme="minorBidi" w:hAnsiTheme="minorBidi" w:cstheme="minorBidi"/>
          <w:color w:val="0E101A"/>
        </w:rPr>
        <w:t xml:space="preserve">No one can completely anticipate the needs of the passengers before the plane takes off </w:t>
      </w:r>
      <w:r w:rsidR="00BE1D8E">
        <w:rPr>
          <w:rFonts w:asciiTheme="minorBidi" w:hAnsiTheme="minorBidi" w:cstheme="minorBidi"/>
          <w:color w:val="0E101A"/>
        </w:rPr>
        <w:t>however,</w:t>
      </w:r>
      <w:r w:rsidR="00B75551" w:rsidRPr="001163D5">
        <w:rPr>
          <w:rFonts w:asciiTheme="minorBidi" w:hAnsiTheme="minorBidi" w:cstheme="minorBidi"/>
          <w:color w:val="0E101A"/>
        </w:rPr>
        <w:t xml:space="preserve"> </w:t>
      </w:r>
      <w:r w:rsidR="004C5D45">
        <w:rPr>
          <w:rFonts w:asciiTheme="minorBidi" w:hAnsiTheme="minorBidi" w:cstheme="minorBidi"/>
          <w:color w:val="0E101A"/>
        </w:rPr>
        <w:t>work processes and organisation</w:t>
      </w:r>
      <w:r w:rsidR="00B75551" w:rsidRPr="001163D5">
        <w:rPr>
          <w:rFonts w:asciiTheme="minorBidi" w:hAnsiTheme="minorBidi" w:cstheme="minorBidi"/>
          <w:color w:val="0E101A"/>
        </w:rPr>
        <w:t xml:space="preserve"> can </w:t>
      </w:r>
      <w:r w:rsidR="00BE1D8E">
        <w:rPr>
          <w:rFonts w:asciiTheme="minorBidi" w:hAnsiTheme="minorBidi" w:cstheme="minorBidi"/>
          <w:color w:val="0E101A"/>
        </w:rPr>
        <w:t xml:space="preserve">help to </w:t>
      </w:r>
      <w:r w:rsidR="00B75551" w:rsidRPr="001163D5">
        <w:rPr>
          <w:rFonts w:asciiTheme="minorBidi" w:hAnsiTheme="minorBidi" w:cstheme="minorBidi"/>
          <w:color w:val="0E101A"/>
        </w:rPr>
        <w:t xml:space="preserve">prepare for a variety of </w:t>
      </w:r>
      <w:r w:rsidR="00BE1D8E">
        <w:rPr>
          <w:rFonts w:asciiTheme="minorBidi" w:hAnsiTheme="minorBidi" w:cstheme="minorBidi"/>
          <w:color w:val="0E101A"/>
        </w:rPr>
        <w:t>hazards</w:t>
      </w:r>
      <w:r w:rsidR="00B75551" w:rsidRPr="001163D5">
        <w:rPr>
          <w:rFonts w:asciiTheme="minorBidi" w:hAnsiTheme="minorBidi" w:cstheme="minorBidi"/>
          <w:color w:val="0E101A"/>
        </w:rPr>
        <w:t xml:space="preserve">. </w:t>
      </w:r>
      <w:r w:rsidRPr="001163D5">
        <w:rPr>
          <w:rFonts w:asciiTheme="minorBidi" w:hAnsiTheme="minorBidi" w:cstheme="minorBidi"/>
          <w:color w:val="0E101A"/>
        </w:rPr>
        <w:t xml:space="preserve">Before taking off the pilots and flight attendants will </w:t>
      </w:r>
      <w:r w:rsidR="004D1963">
        <w:rPr>
          <w:rFonts w:asciiTheme="minorBidi" w:hAnsiTheme="minorBidi" w:cstheme="minorBidi"/>
          <w:color w:val="0E101A"/>
        </w:rPr>
        <w:t>use</w:t>
      </w:r>
      <w:r w:rsidRPr="001163D5">
        <w:rPr>
          <w:rFonts w:asciiTheme="minorBidi" w:hAnsiTheme="minorBidi" w:cstheme="minorBidi"/>
          <w:color w:val="0E101A"/>
        </w:rPr>
        <w:t xml:space="preserve"> checklists to ensure everything on the plane is still working and available for use. The </w:t>
      </w:r>
      <w:r w:rsidR="00B75551">
        <w:rPr>
          <w:rFonts w:asciiTheme="minorBidi" w:hAnsiTheme="minorBidi" w:cstheme="minorBidi"/>
          <w:color w:val="0E101A"/>
        </w:rPr>
        <w:t xml:space="preserve">simple </w:t>
      </w:r>
      <w:r w:rsidRPr="001163D5">
        <w:rPr>
          <w:rFonts w:asciiTheme="minorBidi" w:hAnsiTheme="minorBidi" w:cstheme="minorBidi"/>
          <w:color w:val="0E101A"/>
        </w:rPr>
        <w:t>introduction of pre-flight checklists revolutionised aviation safety</w:t>
      </w:r>
      <w:r w:rsidR="00B3034C">
        <w:rPr>
          <w:rFonts w:asciiTheme="minorBidi" w:hAnsiTheme="minorBidi" w:cstheme="minorBidi"/>
          <w:color w:val="0E101A"/>
          <w:vertAlign w:val="superscript"/>
        </w:rPr>
        <w:t>6</w:t>
      </w:r>
      <w:r w:rsidRPr="001163D5">
        <w:rPr>
          <w:rFonts w:asciiTheme="minorBidi" w:hAnsiTheme="minorBidi" w:cstheme="minorBidi"/>
          <w:color w:val="0E101A"/>
        </w:rPr>
        <w:t>. As the passengers settle in their seats the airline staff will go through what the journey might entail. How long it might take, how to get something to eat and drink, how to get to the toilet</w:t>
      </w:r>
      <w:r w:rsidR="00E253ED">
        <w:rPr>
          <w:rFonts w:asciiTheme="minorBidi" w:hAnsiTheme="minorBidi" w:cstheme="minorBidi"/>
          <w:color w:val="0E101A"/>
        </w:rPr>
        <w:t>,</w:t>
      </w:r>
      <w:r w:rsidRPr="001163D5">
        <w:rPr>
          <w:rFonts w:asciiTheme="minorBidi" w:hAnsiTheme="minorBidi" w:cstheme="minorBidi"/>
          <w:color w:val="0E101A"/>
        </w:rPr>
        <w:t xml:space="preserve"> and where the nearest exits are. They will run through the worst case scenarios, how to get help and keep yourself safe. Smaller planes will even seat able passengers near the door and inform them of how to open the doors in an emergency. Each passenger has access</w:t>
      </w:r>
      <w:r w:rsidR="00683318">
        <w:rPr>
          <w:rFonts w:asciiTheme="minorBidi" w:hAnsiTheme="minorBidi" w:cstheme="minorBidi"/>
          <w:color w:val="0E101A"/>
        </w:rPr>
        <w:t xml:space="preserve"> to</w:t>
      </w:r>
      <w:r w:rsidRPr="001163D5">
        <w:rPr>
          <w:rFonts w:asciiTheme="minorBidi" w:hAnsiTheme="minorBidi" w:cstheme="minorBidi"/>
          <w:color w:val="0E101A"/>
        </w:rPr>
        <w:t xml:space="preserve"> assistance by pushing a button which will alert the flight attendant. </w:t>
      </w:r>
      <w:r w:rsidR="00683318" w:rsidRPr="001163D5">
        <w:rPr>
          <w:rFonts w:asciiTheme="minorBidi" w:hAnsiTheme="minorBidi" w:cstheme="minorBidi"/>
          <w:color w:val="0E101A"/>
        </w:rPr>
        <w:t>Translating some of the</w:t>
      </w:r>
      <w:r w:rsidR="00683318">
        <w:rPr>
          <w:rFonts w:asciiTheme="minorBidi" w:hAnsiTheme="minorBidi" w:cstheme="minorBidi"/>
          <w:color w:val="0E101A"/>
        </w:rPr>
        <w:t>se</w:t>
      </w:r>
      <w:r w:rsidR="00683318" w:rsidRPr="001163D5">
        <w:rPr>
          <w:rFonts w:asciiTheme="minorBidi" w:hAnsiTheme="minorBidi" w:cstheme="minorBidi"/>
          <w:color w:val="0E101A"/>
        </w:rPr>
        <w:t xml:space="preserve"> strategies and applying them to Parkinson’s care could help to improve accessibility to services.</w:t>
      </w:r>
    </w:p>
    <w:p w14:paraId="4CDB2C37" w14:textId="77777777" w:rsidR="00683318" w:rsidRPr="001163D5" w:rsidRDefault="00683318" w:rsidP="001163D5">
      <w:pPr>
        <w:pStyle w:val="NormalWeb"/>
        <w:spacing w:before="0" w:beforeAutospacing="0" w:after="0" w:afterAutospacing="0" w:line="360" w:lineRule="auto"/>
        <w:rPr>
          <w:rFonts w:asciiTheme="minorBidi" w:hAnsiTheme="minorBidi" w:cstheme="minorBidi"/>
          <w:color w:val="0E101A"/>
        </w:rPr>
      </w:pPr>
    </w:p>
    <w:p w14:paraId="1ADD0C31" w14:textId="33526BBF" w:rsidR="00DF3923" w:rsidRDefault="00DF3923" w:rsidP="00E81F69">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lastRenderedPageBreak/>
        <w:t>Separated from life on the ground airline crew travel with a host of safety equipment. These include oxygen systems, fire extinguishers, and life-saving medications. This could be considered as their toolbox, they know what tools are inside and to some extent so do the passengers</w:t>
      </w:r>
      <w:r w:rsidR="00B3034C">
        <w:rPr>
          <w:rFonts w:asciiTheme="minorBidi" w:hAnsiTheme="minorBidi" w:cstheme="minorBidi"/>
          <w:color w:val="0E101A"/>
          <w:vertAlign w:val="superscript"/>
        </w:rPr>
        <w:t>7</w:t>
      </w:r>
      <w:r w:rsidRPr="001163D5">
        <w:rPr>
          <w:rFonts w:asciiTheme="minorBidi" w:hAnsiTheme="minorBidi" w:cstheme="minorBidi"/>
          <w:color w:val="0E101A"/>
        </w:rPr>
        <w:t xml:space="preserve">. The toolbox aims to ensure the safety of passengers if an accident happened during the journey. Thinking back to Mr T and all the other patients I have met with Parkinson’s they all </w:t>
      </w:r>
      <w:r w:rsidR="00A81E5C">
        <w:rPr>
          <w:rFonts w:asciiTheme="minorBidi" w:hAnsiTheme="minorBidi" w:cstheme="minorBidi"/>
          <w:color w:val="0E101A"/>
        </w:rPr>
        <w:t>have different needs</w:t>
      </w:r>
      <w:r w:rsidRPr="001163D5">
        <w:rPr>
          <w:rFonts w:asciiTheme="minorBidi" w:hAnsiTheme="minorBidi" w:cstheme="minorBidi"/>
          <w:color w:val="0E101A"/>
        </w:rPr>
        <w:t>. Furthermore, it is difficult to predict when they may need additional help as symptoms fluctuate and secondary illness can occur at any time. A flexible toolbox approach encourages systems thinking, this is a perspective which has been adopted by the aviation industry</w:t>
      </w:r>
      <w:r w:rsidR="00B3034C">
        <w:rPr>
          <w:rFonts w:asciiTheme="minorBidi" w:hAnsiTheme="minorBidi" w:cstheme="minorBidi"/>
          <w:color w:val="0E101A"/>
          <w:vertAlign w:val="superscript"/>
        </w:rPr>
        <w:t>8</w:t>
      </w:r>
      <w:r w:rsidR="008248A3">
        <w:rPr>
          <w:rFonts w:asciiTheme="minorBidi" w:hAnsiTheme="minorBidi" w:cstheme="minorBidi"/>
          <w:color w:val="0E101A"/>
        </w:rPr>
        <w:t xml:space="preserve"> (Figure 1)</w:t>
      </w:r>
      <w:r w:rsidRPr="001163D5">
        <w:rPr>
          <w:rFonts w:asciiTheme="minorBidi" w:hAnsiTheme="minorBidi" w:cstheme="minorBidi"/>
          <w:color w:val="0E101A"/>
        </w:rPr>
        <w:t>. In contrast, stepwise protocols are likely to encourage linear thinking. The concept of a toolbox for those affected by Parkinson's has begun to be implemented by the NHS</w:t>
      </w:r>
      <w:r w:rsidR="00652287">
        <w:rPr>
          <w:rFonts w:asciiTheme="minorBidi" w:hAnsiTheme="minorBidi" w:cstheme="minorBidi"/>
          <w:color w:val="0E101A"/>
          <w:vertAlign w:val="superscript"/>
        </w:rPr>
        <w:t>9</w:t>
      </w:r>
      <w:r w:rsidRPr="001163D5">
        <w:rPr>
          <w:rFonts w:asciiTheme="minorBidi" w:hAnsiTheme="minorBidi" w:cstheme="minorBidi"/>
          <w:color w:val="0E101A"/>
        </w:rPr>
        <w:t>. However, this is yet to be published in patient-facing format. Not all the passengers will be able to put their oxygen masks on in time if only the flight attendants know about them. </w:t>
      </w:r>
    </w:p>
    <w:p w14:paraId="67BA2BD1" w14:textId="15597ABC" w:rsidR="008822B9" w:rsidRDefault="002D7E1F" w:rsidP="00E81F69">
      <w:pPr>
        <w:pStyle w:val="NormalWeb"/>
        <w:spacing w:before="0" w:beforeAutospacing="0" w:after="0" w:afterAutospacing="0" w:line="360" w:lineRule="auto"/>
        <w:rPr>
          <w:rFonts w:asciiTheme="minorBidi" w:hAnsiTheme="minorBidi" w:cstheme="minorBidi"/>
          <w:color w:val="0E101A"/>
        </w:rPr>
      </w:pPr>
      <w:r>
        <w:rPr>
          <w:noProof/>
        </w:rPr>
        <w:drawing>
          <wp:anchor distT="0" distB="0" distL="114300" distR="114300" simplePos="0" relativeHeight="251658240" behindDoc="0" locked="0" layoutInCell="1" allowOverlap="1" wp14:anchorId="58678A22" wp14:editId="24C6378B">
            <wp:simplePos x="0" y="0"/>
            <wp:positionH relativeFrom="margin">
              <wp:align>left</wp:align>
            </wp:positionH>
            <wp:positionV relativeFrom="paragraph">
              <wp:posOffset>263525</wp:posOffset>
            </wp:positionV>
            <wp:extent cx="5099050" cy="2922905"/>
            <wp:effectExtent l="0" t="0" r="6350" b="0"/>
            <wp:wrapTopAndBottom/>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ubble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0" cy="2922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E5704" w14:textId="13F1073B" w:rsidR="00EB5971" w:rsidRPr="00652287" w:rsidRDefault="008822B9" w:rsidP="00E81F69">
      <w:pPr>
        <w:pStyle w:val="NormalWeb"/>
        <w:spacing w:before="0" w:beforeAutospacing="0" w:after="0" w:afterAutospacing="0" w:line="360" w:lineRule="auto"/>
        <w:rPr>
          <w:rFonts w:asciiTheme="minorBidi" w:hAnsiTheme="minorBidi" w:cstheme="minorBidi"/>
          <w:i/>
          <w:iCs/>
          <w:color w:val="0E101A"/>
          <w:sz w:val="20"/>
          <w:szCs w:val="20"/>
        </w:rPr>
      </w:pPr>
      <w:r w:rsidRPr="00524839">
        <w:rPr>
          <w:rFonts w:asciiTheme="minorBidi" w:hAnsiTheme="minorBidi" w:cstheme="minorBidi"/>
          <w:i/>
          <w:iCs/>
          <w:color w:val="0E101A"/>
          <w:sz w:val="20"/>
          <w:szCs w:val="20"/>
        </w:rPr>
        <w:t xml:space="preserve">Figure 1) </w:t>
      </w:r>
      <w:r w:rsidR="00E90C28" w:rsidRPr="00524839">
        <w:rPr>
          <w:rFonts w:asciiTheme="minorBidi" w:hAnsiTheme="minorBidi" w:cstheme="minorBidi"/>
          <w:i/>
          <w:iCs/>
          <w:color w:val="0E101A"/>
          <w:sz w:val="20"/>
          <w:szCs w:val="20"/>
        </w:rPr>
        <w:t>D</w:t>
      </w:r>
      <w:r w:rsidR="002D7E1F" w:rsidRPr="00524839">
        <w:rPr>
          <w:rFonts w:asciiTheme="minorBidi" w:hAnsiTheme="minorBidi" w:cstheme="minorBidi"/>
          <w:i/>
          <w:iCs/>
          <w:color w:val="0E101A"/>
          <w:sz w:val="20"/>
          <w:szCs w:val="20"/>
        </w:rPr>
        <w:t>iagram demonstrating linear thinking compared to systems thinking</w:t>
      </w:r>
      <w:r w:rsidR="00652287">
        <w:rPr>
          <w:rFonts w:asciiTheme="minorBidi" w:hAnsiTheme="minorBidi" w:cstheme="minorBidi"/>
          <w:i/>
          <w:iCs/>
          <w:color w:val="0E101A"/>
          <w:sz w:val="20"/>
          <w:szCs w:val="20"/>
          <w:vertAlign w:val="superscript"/>
        </w:rPr>
        <w:t>10</w:t>
      </w:r>
      <w:r w:rsidR="00652287">
        <w:rPr>
          <w:rFonts w:asciiTheme="minorBidi" w:hAnsiTheme="minorBidi" w:cstheme="minorBidi"/>
          <w:i/>
          <w:iCs/>
          <w:color w:val="0E101A"/>
          <w:sz w:val="20"/>
          <w:szCs w:val="20"/>
        </w:rPr>
        <w:t>.</w:t>
      </w:r>
    </w:p>
    <w:p w14:paraId="3418A8EB" w14:textId="77777777" w:rsidR="002D7E1F" w:rsidRDefault="002D7E1F" w:rsidP="001163D5">
      <w:pPr>
        <w:pStyle w:val="NormalWeb"/>
        <w:spacing w:before="0" w:beforeAutospacing="0" w:after="0" w:afterAutospacing="0" w:line="360" w:lineRule="auto"/>
        <w:rPr>
          <w:rFonts w:asciiTheme="minorBidi" w:hAnsiTheme="minorBidi" w:cstheme="minorBidi"/>
          <w:color w:val="0E101A"/>
        </w:rPr>
      </w:pPr>
    </w:p>
    <w:p w14:paraId="0E4A62C3" w14:textId="77777777" w:rsidR="002D7E1F" w:rsidRDefault="002D7E1F" w:rsidP="001163D5">
      <w:pPr>
        <w:pStyle w:val="NormalWeb"/>
        <w:spacing w:before="0" w:beforeAutospacing="0" w:after="0" w:afterAutospacing="0" w:line="360" w:lineRule="auto"/>
        <w:rPr>
          <w:rFonts w:asciiTheme="minorBidi" w:hAnsiTheme="minorBidi" w:cstheme="minorBidi"/>
          <w:color w:val="0E101A"/>
        </w:rPr>
      </w:pPr>
    </w:p>
    <w:p w14:paraId="74BA9079" w14:textId="77777777" w:rsidR="002D7E1F" w:rsidRDefault="002D7E1F" w:rsidP="001163D5">
      <w:pPr>
        <w:pStyle w:val="NormalWeb"/>
        <w:spacing w:before="0" w:beforeAutospacing="0" w:after="0" w:afterAutospacing="0" w:line="360" w:lineRule="auto"/>
        <w:rPr>
          <w:rFonts w:asciiTheme="minorBidi" w:hAnsiTheme="minorBidi" w:cstheme="minorBidi"/>
          <w:color w:val="0E101A"/>
        </w:rPr>
      </w:pPr>
    </w:p>
    <w:p w14:paraId="2D297AAF" w14:textId="59B0FCEE"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lastRenderedPageBreak/>
        <w:t>Whilst airlines use call buttons to help their passengers to call for assistance, the world of healthcare has begun to invest in remote consultations. Following the COVID-19 pandemic, 99% of GP practices in England now utilise remote consultations</w:t>
      </w:r>
      <w:r w:rsidR="00DE511C">
        <w:rPr>
          <w:rFonts w:asciiTheme="minorBidi" w:hAnsiTheme="minorBidi" w:cstheme="minorBidi"/>
          <w:color w:val="0E101A"/>
          <w:vertAlign w:val="superscript"/>
        </w:rPr>
        <w:t>11</w:t>
      </w:r>
      <w:r w:rsidRPr="001163D5">
        <w:rPr>
          <w:rFonts w:asciiTheme="minorBidi" w:hAnsiTheme="minorBidi" w:cstheme="minorBidi"/>
          <w:color w:val="0E101A"/>
        </w:rPr>
        <w:t>. Telephone and video consultations make care more accessible to those who live rurally and can provide a window into the patient's home environment. By contrast, difficulties may arise for Parkinson’s patients affected by low voice volume and tremors when communicating remotely. From a clinician's perspective, a thorough neurological examination using telecommunications is under development but yet to be achieved</w:t>
      </w:r>
      <w:r w:rsidR="00DE511C">
        <w:rPr>
          <w:rFonts w:asciiTheme="minorBidi" w:hAnsiTheme="minorBidi" w:cstheme="minorBidi"/>
          <w:color w:val="0E101A"/>
          <w:vertAlign w:val="superscript"/>
        </w:rPr>
        <w:t>12</w:t>
      </w:r>
      <w:r w:rsidRPr="001163D5">
        <w:rPr>
          <w:rFonts w:asciiTheme="minorBidi" w:hAnsiTheme="minorBidi" w:cstheme="minorBidi"/>
          <w:color w:val="0E101A"/>
        </w:rPr>
        <w:t>. This concept of faster access to consultations alongside the existing access to specialist nurses could help patients to avoid a crisis point and admission. Ensuring that patients are given information about the disease from ‘take off’ would be a vital adjunct here. As it can enable them to identify when their symptoms are a sign of progression or undertreatment, and when to reach for support. </w:t>
      </w:r>
    </w:p>
    <w:p w14:paraId="2B545EF9" w14:textId="77777777"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p>
    <w:p w14:paraId="614D23E2" w14:textId="78055AA7" w:rsidR="00B41276"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t xml:space="preserve">Airlines inform passengers of their safety procedures so that passengers can help themselves as much as possible if an incident were to happen. By giving able passengers the ability to open the emergency exit doors they ensure that less able people and young children can exit the aircraft safely. Similarly, healthcare providers should be </w:t>
      </w:r>
      <w:r w:rsidR="00F74080" w:rsidRPr="001163D5">
        <w:rPr>
          <w:rFonts w:asciiTheme="minorBidi" w:hAnsiTheme="minorBidi" w:cstheme="minorBidi"/>
          <w:color w:val="0E101A"/>
        </w:rPr>
        <w:t>equipping</w:t>
      </w:r>
      <w:r w:rsidRPr="001163D5">
        <w:rPr>
          <w:rFonts w:asciiTheme="minorBidi" w:hAnsiTheme="minorBidi" w:cstheme="minorBidi"/>
          <w:color w:val="0E101A"/>
        </w:rPr>
        <w:t xml:space="preserve"> </w:t>
      </w:r>
      <w:r w:rsidR="008D71DC">
        <w:rPr>
          <w:rFonts w:asciiTheme="minorBidi" w:hAnsiTheme="minorBidi" w:cstheme="minorBidi"/>
          <w:color w:val="0E101A"/>
        </w:rPr>
        <w:t xml:space="preserve">patients and </w:t>
      </w:r>
      <w:r w:rsidRPr="001163D5">
        <w:rPr>
          <w:rFonts w:asciiTheme="minorBidi" w:hAnsiTheme="minorBidi" w:cstheme="minorBidi"/>
          <w:color w:val="0E101A"/>
        </w:rPr>
        <w:t>carers with</w:t>
      </w:r>
      <w:r w:rsidR="008D71DC">
        <w:rPr>
          <w:rFonts w:asciiTheme="minorBidi" w:hAnsiTheme="minorBidi" w:cstheme="minorBidi"/>
          <w:color w:val="0E101A"/>
        </w:rPr>
        <w:t xml:space="preserve"> the</w:t>
      </w:r>
      <w:r w:rsidRPr="001163D5">
        <w:rPr>
          <w:rFonts w:asciiTheme="minorBidi" w:hAnsiTheme="minorBidi" w:cstheme="minorBidi"/>
          <w:color w:val="0E101A"/>
        </w:rPr>
        <w:t xml:space="preserve"> tools and information to get help. For example, self-medication has been one of the strategies suggested by specialists to improve inpatient safety</w:t>
      </w:r>
      <w:r w:rsidR="00DE511C">
        <w:rPr>
          <w:rFonts w:asciiTheme="minorBidi" w:hAnsiTheme="minorBidi" w:cstheme="minorBidi"/>
          <w:color w:val="0E101A"/>
          <w:vertAlign w:val="superscript"/>
        </w:rPr>
        <w:t>4</w:t>
      </w:r>
      <w:r w:rsidRPr="001163D5">
        <w:rPr>
          <w:rFonts w:asciiTheme="minorBidi" w:hAnsiTheme="minorBidi" w:cstheme="minorBidi"/>
          <w:color w:val="0E101A"/>
        </w:rPr>
        <w:t xml:space="preserve">. ‘PD self’ is </w:t>
      </w:r>
      <w:r w:rsidR="0070652E">
        <w:rPr>
          <w:rFonts w:asciiTheme="minorBidi" w:hAnsiTheme="minorBidi" w:cstheme="minorBidi"/>
          <w:color w:val="0E101A"/>
        </w:rPr>
        <w:t>one</w:t>
      </w:r>
      <w:r w:rsidRPr="001163D5">
        <w:rPr>
          <w:rFonts w:asciiTheme="minorBidi" w:hAnsiTheme="minorBidi" w:cstheme="minorBidi"/>
          <w:color w:val="0E101A"/>
        </w:rPr>
        <w:t xml:space="preserve"> American Organisation which is focused on empowering newly diagnosed patients with Parkinson’s</w:t>
      </w:r>
      <w:r w:rsidR="00877E90">
        <w:rPr>
          <w:rFonts w:asciiTheme="minorBidi" w:hAnsiTheme="minorBidi" w:cstheme="minorBidi"/>
          <w:color w:val="0E101A"/>
          <w:vertAlign w:val="superscript"/>
        </w:rPr>
        <w:t>13</w:t>
      </w:r>
      <w:r w:rsidRPr="001163D5">
        <w:rPr>
          <w:rFonts w:asciiTheme="minorBidi" w:hAnsiTheme="minorBidi" w:cstheme="minorBidi"/>
          <w:color w:val="0E101A"/>
        </w:rPr>
        <w:t>. Beyond patient impacts, empowerment in a stretched healthcare system can preserve resources whilst improving patient satisfaction</w:t>
      </w:r>
      <w:r w:rsidR="00877E90">
        <w:rPr>
          <w:rFonts w:asciiTheme="minorBidi" w:hAnsiTheme="minorBidi" w:cstheme="minorBidi"/>
          <w:color w:val="0E101A"/>
          <w:vertAlign w:val="superscript"/>
        </w:rPr>
        <w:t>14</w:t>
      </w:r>
      <w:r w:rsidRPr="001163D5">
        <w:rPr>
          <w:rFonts w:asciiTheme="minorBidi" w:hAnsiTheme="minorBidi" w:cstheme="minorBidi"/>
          <w:color w:val="0E101A"/>
        </w:rPr>
        <w:t xml:space="preserve">. Signposting patients to services and support groups should </w:t>
      </w:r>
      <w:r w:rsidR="00B41276">
        <w:rPr>
          <w:rFonts w:asciiTheme="minorBidi" w:hAnsiTheme="minorBidi" w:cstheme="minorBidi"/>
          <w:color w:val="0E101A"/>
        </w:rPr>
        <w:t xml:space="preserve">therefore </w:t>
      </w:r>
      <w:r w:rsidRPr="001163D5">
        <w:rPr>
          <w:rFonts w:asciiTheme="minorBidi" w:hAnsiTheme="minorBidi" w:cstheme="minorBidi"/>
          <w:color w:val="0E101A"/>
        </w:rPr>
        <w:t>be an important component of the toolbox approach.</w:t>
      </w:r>
    </w:p>
    <w:p w14:paraId="5ECC304D" w14:textId="610393E2"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t> </w:t>
      </w:r>
    </w:p>
    <w:p w14:paraId="5A65DC81" w14:textId="77777777" w:rsidR="00DF3923" w:rsidRPr="001163D5" w:rsidRDefault="00DF3923" w:rsidP="002D698E">
      <w:pPr>
        <w:pStyle w:val="NormalWeb"/>
        <w:spacing w:before="0" w:beforeAutospacing="0" w:after="0" w:afterAutospacing="0" w:line="360" w:lineRule="auto"/>
        <w:jc w:val="center"/>
        <w:rPr>
          <w:rFonts w:asciiTheme="minorBidi" w:hAnsiTheme="minorBidi" w:cstheme="minorBidi"/>
          <w:color w:val="0E101A"/>
        </w:rPr>
      </w:pPr>
      <w:r w:rsidRPr="001163D5">
        <w:rPr>
          <w:rStyle w:val="Strong"/>
          <w:rFonts w:asciiTheme="minorBidi" w:hAnsiTheme="minorBidi" w:cstheme="minorBidi"/>
          <w:color w:val="0E101A"/>
        </w:rPr>
        <w:t>Conclusion</w:t>
      </w:r>
    </w:p>
    <w:p w14:paraId="10C9153C" w14:textId="01C1770C" w:rsidR="00DF3923" w:rsidRPr="001163D5" w:rsidRDefault="00DF3923" w:rsidP="001163D5">
      <w:pPr>
        <w:pStyle w:val="NormalWeb"/>
        <w:spacing w:before="0" w:beforeAutospacing="0" w:after="0" w:afterAutospacing="0" w:line="360" w:lineRule="auto"/>
        <w:rPr>
          <w:rFonts w:asciiTheme="minorBidi" w:hAnsiTheme="minorBidi" w:cstheme="minorBidi"/>
          <w:color w:val="0E101A"/>
        </w:rPr>
      </w:pPr>
      <w:r w:rsidRPr="001163D5">
        <w:rPr>
          <w:rFonts w:asciiTheme="minorBidi" w:hAnsiTheme="minorBidi" w:cstheme="minorBidi"/>
          <w:color w:val="0E101A"/>
        </w:rPr>
        <w:t xml:space="preserve">Knowing that this patient group require fluctuating levels of care over a long period and having identified that patients </w:t>
      </w:r>
      <w:r w:rsidR="006B421E">
        <w:rPr>
          <w:rFonts w:asciiTheme="minorBidi" w:hAnsiTheme="minorBidi" w:cstheme="minorBidi"/>
          <w:color w:val="0E101A"/>
        </w:rPr>
        <w:t>affected by</w:t>
      </w:r>
      <w:r w:rsidRPr="001163D5">
        <w:rPr>
          <w:rFonts w:asciiTheme="minorBidi" w:hAnsiTheme="minorBidi" w:cstheme="minorBidi"/>
          <w:color w:val="0E101A"/>
        </w:rPr>
        <w:t xml:space="preserve"> Parkinsons </w:t>
      </w:r>
      <w:r w:rsidR="00AC34DB">
        <w:rPr>
          <w:rFonts w:asciiTheme="minorBidi" w:hAnsiTheme="minorBidi" w:cstheme="minorBidi"/>
          <w:color w:val="0E101A"/>
        </w:rPr>
        <w:t>require</w:t>
      </w:r>
      <w:r w:rsidR="00A435C7">
        <w:rPr>
          <w:rFonts w:asciiTheme="minorBidi" w:hAnsiTheme="minorBidi" w:cstheme="minorBidi"/>
          <w:color w:val="0E101A"/>
        </w:rPr>
        <w:t xml:space="preserve"> a holistic</w:t>
      </w:r>
      <w:r w:rsidRPr="001163D5">
        <w:rPr>
          <w:rFonts w:asciiTheme="minorBidi" w:hAnsiTheme="minorBidi" w:cstheme="minorBidi"/>
          <w:color w:val="0E101A"/>
        </w:rPr>
        <w:t xml:space="preserve"> </w:t>
      </w:r>
      <w:r w:rsidR="00401228">
        <w:rPr>
          <w:rFonts w:asciiTheme="minorBidi" w:hAnsiTheme="minorBidi" w:cstheme="minorBidi"/>
          <w:color w:val="0E101A"/>
        </w:rPr>
        <w:t>approach</w:t>
      </w:r>
      <w:r w:rsidR="006B421E">
        <w:rPr>
          <w:rFonts w:asciiTheme="minorBidi" w:hAnsiTheme="minorBidi" w:cstheme="minorBidi"/>
          <w:color w:val="0E101A"/>
        </w:rPr>
        <w:t xml:space="preserve">. The </w:t>
      </w:r>
      <w:r w:rsidR="002E4DD0">
        <w:rPr>
          <w:rFonts w:asciiTheme="minorBidi" w:hAnsiTheme="minorBidi" w:cstheme="minorBidi"/>
          <w:color w:val="0E101A"/>
        </w:rPr>
        <w:t xml:space="preserve">structural </w:t>
      </w:r>
      <w:r w:rsidR="006B421E">
        <w:rPr>
          <w:rFonts w:asciiTheme="minorBidi" w:hAnsiTheme="minorBidi" w:cstheme="minorBidi"/>
          <w:color w:val="0E101A"/>
        </w:rPr>
        <w:t xml:space="preserve">organisation of </w:t>
      </w:r>
      <w:r w:rsidRPr="001163D5">
        <w:rPr>
          <w:rFonts w:asciiTheme="minorBidi" w:hAnsiTheme="minorBidi" w:cstheme="minorBidi"/>
          <w:color w:val="0E101A"/>
        </w:rPr>
        <w:t>Parkinsons care could benefit from a protocol initiated at diagnosis</w:t>
      </w:r>
      <w:r w:rsidR="002E4DD0">
        <w:rPr>
          <w:rFonts w:asciiTheme="minorBidi" w:hAnsiTheme="minorBidi" w:cstheme="minorBidi"/>
          <w:color w:val="0E101A"/>
        </w:rPr>
        <w:t xml:space="preserve"> and</w:t>
      </w:r>
      <w:r w:rsidRPr="001163D5">
        <w:rPr>
          <w:rFonts w:asciiTheme="minorBidi" w:hAnsiTheme="minorBidi" w:cstheme="minorBidi"/>
          <w:color w:val="0E101A"/>
        </w:rPr>
        <w:t xml:space="preserve"> a toolbox </w:t>
      </w:r>
      <w:r w:rsidR="002E4DD0">
        <w:rPr>
          <w:rFonts w:asciiTheme="minorBidi" w:hAnsiTheme="minorBidi" w:cstheme="minorBidi"/>
          <w:color w:val="0E101A"/>
        </w:rPr>
        <w:t xml:space="preserve">which is </w:t>
      </w:r>
      <w:r w:rsidRPr="001163D5">
        <w:rPr>
          <w:rFonts w:asciiTheme="minorBidi" w:hAnsiTheme="minorBidi" w:cstheme="minorBidi"/>
          <w:color w:val="0E101A"/>
        </w:rPr>
        <w:t xml:space="preserve">used by patients and coordinated by healthcare </w:t>
      </w:r>
      <w:r w:rsidRPr="001163D5">
        <w:rPr>
          <w:rFonts w:asciiTheme="minorBidi" w:hAnsiTheme="minorBidi" w:cstheme="minorBidi"/>
          <w:color w:val="0E101A"/>
        </w:rPr>
        <w:lastRenderedPageBreak/>
        <w:t xml:space="preserve">providers. The main learning points to be taken from this comparison of aviation and Parkinson's care are anticipation of needs, </w:t>
      </w:r>
      <w:r w:rsidR="009D3FF9">
        <w:rPr>
          <w:rFonts w:asciiTheme="minorBidi" w:hAnsiTheme="minorBidi" w:cstheme="minorBidi"/>
          <w:color w:val="0E101A"/>
        </w:rPr>
        <w:t xml:space="preserve">systems thinking, </w:t>
      </w:r>
      <w:r w:rsidRPr="001163D5">
        <w:rPr>
          <w:rFonts w:asciiTheme="minorBidi" w:hAnsiTheme="minorBidi" w:cstheme="minorBidi"/>
          <w:color w:val="0E101A"/>
        </w:rPr>
        <w:t>easy access to assistance, and informed and involved service users.</w:t>
      </w:r>
    </w:p>
    <w:p w14:paraId="4B384ADC" w14:textId="0D386AF5" w:rsidR="00CB1399" w:rsidRPr="001163D5" w:rsidRDefault="00CB1399" w:rsidP="001163D5">
      <w:pPr>
        <w:spacing w:line="360" w:lineRule="auto"/>
        <w:rPr>
          <w:rFonts w:asciiTheme="minorBidi" w:hAnsiTheme="minorBidi"/>
          <w:sz w:val="24"/>
          <w:szCs w:val="24"/>
          <w:lang w:val="en-GB"/>
        </w:rPr>
      </w:pPr>
    </w:p>
    <w:p w14:paraId="0748EBD3" w14:textId="39A957FE" w:rsidR="45AD26C1" w:rsidRPr="001163D5" w:rsidRDefault="45AD26C1" w:rsidP="001163D5">
      <w:pPr>
        <w:spacing w:line="360" w:lineRule="auto"/>
        <w:jc w:val="center"/>
        <w:rPr>
          <w:rFonts w:asciiTheme="minorBidi" w:hAnsiTheme="minorBidi"/>
          <w:b/>
          <w:bCs/>
          <w:sz w:val="24"/>
          <w:szCs w:val="24"/>
        </w:rPr>
      </w:pPr>
    </w:p>
    <w:p w14:paraId="291EA3AD" w14:textId="7BB442CC" w:rsidR="45AD26C1" w:rsidRPr="001163D5" w:rsidRDefault="45AD26C1" w:rsidP="001163D5">
      <w:pPr>
        <w:spacing w:line="360" w:lineRule="auto"/>
        <w:jc w:val="center"/>
        <w:rPr>
          <w:rFonts w:asciiTheme="minorBidi" w:hAnsiTheme="minorBidi"/>
          <w:b/>
          <w:bCs/>
          <w:sz w:val="24"/>
          <w:szCs w:val="24"/>
        </w:rPr>
      </w:pPr>
      <w:r w:rsidRPr="001163D5">
        <w:rPr>
          <w:rFonts w:asciiTheme="minorBidi" w:hAnsiTheme="minorBidi"/>
          <w:b/>
          <w:bCs/>
          <w:sz w:val="24"/>
          <w:szCs w:val="24"/>
        </w:rPr>
        <w:t>References</w:t>
      </w:r>
    </w:p>
    <w:p w14:paraId="288DBD04" w14:textId="2A251F38" w:rsidR="00FA3546" w:rsidRPr="00FB5291" w:rsidRDefault="00FA3546"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BMJ</w:t>
      </w:r>
      <w:r w:rsidR="009B4FCB" w:rsidRPr="00FB5291">
        <w:rPr>
          <w:rFonts w:asciiTheme="minorBidi" w:hAnsiTheme="minorBidi"/>
          <w:sz w:val="20"/>
          <w:szCs w:val="20"/>
        </w:rPr>
        <w:t xml:space="preserve"> (2022) Parkinsons Disease. </w:t>
      </w:r>
      <w:r w:rsidR="00C2209E" w:rsidRPr="00FB5291">
        <w:rPr>
          <w:rFonts w:asciiTheme="minorBidi" w:hAnsiTheme="minorBidi"/>
          <w:sz w:val="20"/>
          <w:szCs w:val="20"/>
        </w:rPr>
        <w:t xml:space="preserve">BMJ best practice. Available at: https://bestpractice.bmj.com/topics/en-gb/147. (accessed: 15/05/2022). </w:t>
      </w:r>
    </w:p>
    <w:p w14:paraId="2A265A8F" w14:textId="477C8171" w:rsidR="00B74CEF" w:rsidRPr="00FB5291" w:rsidRDefault="00790A41"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Eng</w:t>
      </w:r>
      <w:r w:rsidR="00F2602D" w:rsidRPr="00FB5291">
        <w:rPr>
          <w:rFonts w:asciiTheme="minorBidi" w:hAnsiTheme="minorBidi"/>
          <w:sz w:val="20"/>
          <w:szCs w:val="20"/>
        </w:rPr>
        <w:t>lish</w:t>
      </w:r>
      <w:r w:rsidRPr="00FB5291">
        <w:rPr>
          <w:rFonts w:asciiTheme="minorBidi" w:hAnsiTheme="minorBidi"/>
          <w:sz w:val="20"/>
          <w:szCs w:val="20"/>
        </w:rPr>
        <w:t xml:space="preserve"> </w:t>
      </w:r>
      <w:r w:rsidR="009068FE" w:rsidRPr="00FB5291">
        <w:rPr>
          <w:rFonts w:asciiTheme="minorBidi" w:hAnsiTheme="minorBidi"/>
          <w:sz w:val="20"/>
          <w:szCs w:val="20"/>
        </w:rPr>
        <w:t xml:space="preserve">Hospital Episode Statistics. </w:t>
      </w:r>
      <w:r w:rsidR="00BF5E97" w:rsidRPr="00FB5291">
        <w:rPr>
          <w:rFonts w:asciiTheme="minorBidi" w:hAnsiTheme="minorBidi"/>
          <w:sz w:val="20"/>
          <w:szCs w:val="20"/>
        </w:rPr>
        <w:t xml:space="preserve">(2019) </w:t>
      </w:r>
      <w:r w:rsidR="00D412D9" w:rsidRPr="00FB5291">
        <w:rPr>
          <w:rFonts w:asciiTheme="minorBidi" w:hAnsiTheme="minorBidi"/>
          <w:sz w:val="20"/>
          <w:szCs w:val="20"/>
        </w:rPr>
        <w:t>Hospital Admitted Patient Care Activity 2018-19</w:t>
      </w:r>
      <w:r w:rsidR="00601E43" w:rsidRPr="00FB5291">
        <w:rPr>
          <w:rFonts w:asciiTheme="minorBidi" w:hAnsiTheme="minorBidi"/>
          <w:sz w:val="20"/>
          <w:szCs w:val="20"/>
        </w:rPr>
        <w:t xml:space="preserve">. Available at: </w:t>
      </w:r>
      <w:r w:rsidR="00C66A4F" w:rsidRPr="00FB5291">
        <w:rPr>
          <w:rFonts w:asciiTheme="minorBidi" w:hAnsiTheme="minorBidi"/>
          <w:sz w:val="20"/>
          <w:szCs w:val="20"/>
        </w:rPr>
        <w:t xml:space="preserve">https://digital.nhs.uk/data-and-information/publications/statistical/hospital-admitted-patient-care-activity/2018-19 (accessed: 20/05/22). </w:t>
      </w:r>
    </w:p>
    <w:p w14:paraId="3606F746" w14:textId="7D1BC246" w:rsidR="00790A41" w:rsidRPr="00FB5291" w:rsidRDefault="00790A41"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Engl</w:t>
      </w:r>
      <w:r w:rsidR="00F2602D" w:rsidRPr="00FB5291">
        <w:rPr>
          <w:rFonts w:asciiTheme="minorBidi" w:hAnsiTheme="minorBidi"/>
          <w:sz w:val="20"/>
          <w:szCs w:val="20"/>
        </w:rPr>
        <w:t xml:space="preserve">ish </w:t>
      </w:r>
      <w:r w:rsidRPr="00FB5291">
        <w:rPr>
          <w:rFonts w:asciiTheme="minorBidi" w:hAnsiTheme="minorBidi"/>
          <w:sz w:val="20"/>
          <w:szCs w:val="20"/>
        </w:rPr>
        <w:t xml:space="preserve">Hospital Episode Statistics. (2016) </w:t>
      </w:r>
      <w:r w:rsidRPr="00FB5291">
        <w:rPr>
          <w:rFonts w:asciiTheme="minorBidi" w:hAnsiTheme="minorBidi"/>
          <w:i/>
          <w:iCs/>
          <w:sz w:val="20"/>
          <w:szCs w:val="20"/>
        </w:rPr>
        <w:t>Hospital Admitted Patient Care Activity 201</w:t>
      </w:r>
      <w:r w:rsidR="001F220C" w:rsidRPr="00FB5291">
        <w:rPr>
          <w:rFonts w:asciiTheme="minorBidi" w:hAnsiTheme="minorBidi"/>
          <w:i/>
          <w:iCs/>
          <w:sz w:val="20"/>
          <w:szCs w:val="20"/>
        </w:rPr>
        <w:t>5</w:t>
      </w:r>
      <w:r w:rsidRPr="00FB5291">
        <w:rPr>
          <w:rFonts w:asciiTheme="minorBidi" w:hAnsiTheme="minorBidi"/>
          <w:i/>
          <w:iCs/>
          <w:sz w:val="20"/>
          <w:szCs w:val="20"/>
        </w:rPr>
        <w:t>-1</w:t>
      </w:r>
      <w:r w:rsidR="001F220C" w:rsidRPr="00FB5291">
        <w:rPr>
          <w:rFonts w:asciiTheme="minorBidi" w:hAnsiTheme="minorBidi"/>
          <w:i/>
          <w:iCs/>
          <w:sz w:val="20"/>
          <w:szCs w:val="20"/>
        </w:rPr>
        <w:t>6</w:t>
      </w:r>
      <w:r w:rsidRPr="00FB5291">
        <w:rPr>
          <w:rFonts w:asciiTheme="minorBidi" w:hAnsiTheme="minorBidi"/>
          <w:i/>
          <w:iCs/>
          <w:sz w:val="20"/>
          <w:szCs w:val="20"/>
        </w:rPr>
        <w:t>.</w:t>
      </w:r>
      <w:r w:rsidRPr="00FB5291">
        <w:rPr>
          <w:rFonts w:asciiTheme="minorBidi" w:hAnsiTheme="minorBidi"/>
          <w:sz w:val="20"/>
          <w:szCs w:val="20"/>
        </w:rPr>
        <w:t xml:space="preserve"> Available at: </w:t>
      </w:r>
      <w:r w:rsidR="00F2602D" w:rsidRPr="00FB5291">
        <w:rPr>
          <w:rFonts w:asciiTheme="minorBidi" w:hAnsiTheme="minorBidi"/>
          <w:sz w:val="20"/>
          <w:szCs w:val="20"/>
        </w:rPr>
        <w:t xml:space="preserve">www.content.digital.nhs.uk/hes </w:t>
      </w:r>
      <w:r w:rsidRPr="00FB5291">
        <w:rPr>
          <w:rFonts w:asciiTheme="minorBidi" w:hAnsiTheme="minorBidi"/>
          <w:sz w:val="20"/>
          <w:szCs w:val="20"/>
        </w:rPr>
        <w:t xml:space="preserve">(accessed: 20/05/22). </w:t>
      </w:r>
    </w:p>
    <w:p w14:paraId="1F3BDA8A" w14:textId="77777777" w:rsidR="00BD4785" w:rsidRPr="00FB5291" w:rsidRDefault="004F3760"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Skelly, R., Brown, L., Fakis, A., Walker, R. (2015) Hospitalization in Parkinson's disease: A survey of UK neurologists, geriatricians and Parkinson's disease nurse specialists, Parkinsonism &amp; Related Disorders,21(3), pp. 277-281.</w:t>
      </w:r>
    </w:p>
    <w:p w14:paraId="70724A11" w14:textId="35C209B9" w:rsidR="00BD4785" w:rsidRPr="00FB5291" w:rsidRDefault="00BD4785"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 xml:space="preserve">Ishihara LS, Cheesbrough A, Brayne C, et al (2007) Estimated life expectancy of Parkinson’s patients compared with the UK population. </w:t>
      </w:r>
      <w:r w:rsidRPr="00FB5291">
        <w:rPr>
          <w:rFonts w:asciiTheme="minorBidi" w:hAnsiTheme="minorBidi"/>
          <w:i/>
          <w:iCs/>
          <w:sz w:val="20"/>
          <w:szCs w:val="20"/>
        </w:rPr>
        <w:t>Journal of Neurology, Neurosurgery &amp; Psychiatry</w:t>
      </w:r>
      <w:r w:rsidR="00C96DB1" w:rsidRPr="00FB5291">
        <w:rPr>
          <w:rFonts w:asciiTheme="minorBidi" w:hAnsiTheme="minorBidi"/>
          <w:i/>
          <w:iCs/>
          <w:sz w:val="20"/>
          <w:szCs w:val="20"/>
        </w:rPr>
        <w:t>,</w:t>
      </w:r>
      <w:r w:rsidRPr="00FB5291">
        <w:rPr>
          <w:rFonts w:asciiTheme="minorBidi" w:hAnsiTheme="minorBidi"/>
          <w:sz w:val="20"/>
          <w:szCs w:val="20"/>
        </w:rPr>
        <w:t xml:space="preserve"> 78:1304-1309.</w:t>
      </w:r>
    </w:p>
    <w:p w14:paraId="6FFBCC94" w14:textId="18BE0A17" w:rsidR="00284A28" w:rsidRPr="00FB5291" w:rsidRDefault="00284A28"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sz w:val="20"/>
          <w:szCs w:val="20"/>
        </w:rPr>
        <w:t xml:space="preserve">Gerstle, C. (2019) Parallels in safety between aviation and healthcare, </w:t>
      </w:r>
      <w:r w:rsidRPr="00FB5291">
        <w:rPr>
          <w:rFonts w:asciiTheme="minorBidi" w:hAnsiTheme="minorBidi"/>
          <w:i/>
          <w:iCs/>
          <w:sz w:val="20"/>
          <w:szCs w:val="20"/>
        </w:rPr>
        <w:t>Journal of Pediatric Surgery</w:t>
      </w:r>
      <w:r w:rsidRPr="00FB5291">
        <w:rPr>
          <w:rFonts w:asciiTheme="minorBidi" w:hAnsiTheme="minorBidi"/>
          <w:sz w:val="20"/>
          <w:szCs w:val="20"/>
        </w:rPr>
        <w:t xml:space="preserve">, 53(5), pp. 875-878. </w:t>
      </w:r>
    </w:p>
    <w:p w14:paraId="4D95DB63" w14:textId="7BA1845B" w:rsidR="000B6835" w:rsidRPr="00FB5291" w:rsidRDefault="000B6835"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color w:val="000000"/>
          <w:sz w:val="20"/>
          <w:szCs w:val="20"/>
          <w:shd w:val="clear" w:color="auto" w:fill="FFFFFF"/>
        </w:rPr>
        <w:t>HRD Aero Systems. 2018. </w:t>
      </w:r>
      <w:r w:rsidRPr="00FB5291">
        <w:rPr>
          <w:rFonts w:asciiTheme="minorBidi" w:hAnsiTheme="minorBidi"/>
          <w:i/>
          <w:iCs/>
          <w:color w:val="000000"/>
          <w:sz w:val="20"/>
          <w:szCs w:val="20"/>
          <w:shd w:val="clear" w:color="auto" w:fill="FFFFFF"/>
        </w:rPr>
        <w:t>What Safety Equipment Is On An Aircraft? | HRD Aero Systems</w:t>
      </w:r>
      <w:r w:rsidRPr="00FB5291">
        <w:rPr>
          <w:rFonts w:asciiTheme="minorBidi" w:hAnsiTheme="minorBidi"/>
          <w:color w:val="000000"/>
          <w:sz w:val="20"/>
          <w:szCs w:val="20"/>
          <w:shd w:val="clear" w:color="auto" w:fill="FFFFFF"/>
        </w:rPr>
        <w:t>. [online] Available at: &lt;https://www.hrd-aerosystems.com/blog/what-safety-equipment-is-on-an-aircraft/&gt; [Accessed 24 May 2022].</w:t>
      </w:r>
    </w:p>
    <w:p w14:paraId="79D01962" w14:textId="48958C83" w:rsidR="00DF23BE" w:rsidRPr="00FB5291" w:rsidRDefault="00DF23BE" w:rsidP="001163D5">
      <w:pPr>
        <w:pStyle w:val="ListParagraph"/>
        <w:numPr>
          <w:ilvl w:val="0"/>
          <w:numId w:val="7"/>
        </w:numPr>
        <w:spacing w:line="360" w:lineRule="auto"/>
        <w:rPr>
          <w:rFonts w:asciiTheme="minorBidi" w:hAnsiTheme="minorBidi"/>
          <w:sz w:val="20"/>
          <w:szCs w:val="20"/>
        </w:rPr>
      </w:pPr>
      <w:r w:rsidRPr="00FB5291">
        <w:rPr>
          <w:rFonts w:asciiTheme="minorBidi" w:hAnsiTheme="minorBidi"/>
          <w:color w:val="000000"/>
          <w:sz w:val="20"/>
          <w:szCs w:val="20"/>
          <w:shd w:val="clear" w:color="auto" w:fill="FFFFFF"/>
        </w:rPr>
        <w:t>Patankar, M., 2012. </w:t>
      </w:r>
      <w:r w:rsidRPr="00FB5291">
        <w:rPr>
          <w:rFonts w:asciiTheme="minorBidi" w:hAnsiTheme="minorBidi"/>
          <w:i/>
          <w:iCs/>
          <w:color w:val="000000"/>
          <w:sz w:val="20"/>
          <w:szCs w:val="20"/>
          <w:shd w:val="clear" w:color="auto" w:fill="FFFFFF"/>
        </w:rPr>
        <w:t>Safety culture</w:t>
      </w:r>
      <w:r w:rsidRPr="00FB5291">
        <w:rPr>
          <w:rFonts w:asciiTheme="minorBidi" w:hAnsiTheme="minorBidi"/>
          <w:color w:val="000000"/>
          <w:sz w:val="20"/>
          <w:szCs w:val="20"/>
          <w:shd w:val="clear" w:color="auto" w:fill="FFFFFF"/>
        </w:rPr>
        <w:t>. Burlington, Vt.: Ashgate Pub. Co.</w:t>
      </w:r>
    </w:p>
    <w:p w14:paraId="2C3C4DFD" w14:textId="4BCB1B1A" w:rsidR="00652287" w:rsidRPr="00FB5291" w:rsidRDefault="00652287" w:rsidP="00652287">
      <w:pPr>
        <w:pStyle w:val="ListParagraph"/>
        <w:numPr>
          <w:ilvl w:val="0"/>
          <w:numId w:val="7"/>
        </w:numPr>
        <w:spacing w:line="360" w:lineRule="auto"/>
        <w:rPr>
          <w:rFonts w:asciiTheme="minorBidi" w:eastAsiaTheme="minorEastAsia" w:hAnsiTheme="minorBidi"/>
          <w:color w:val="000000" w:themeColor="text1"/>
          <w:sz w:val="20"/>
          <w:szCs w:val="20"/>
        </w:rPr>
      </w:pPr>
      <w:r w:rsidRPr="00FB5291">
        <w:rPr>
          <w:rFonts w:asciiTheme="minorBidi" w:eastAsia="Calibri" w:hAnsiTheme="minorBidi"/>
          <w:color w:val="000000" w:themeColor="text1"/>
          <w:sz w:val="20"/>
          <w:szCs w:val="20"/>
          <w:lang w:val="en-GB"/>
        </w:rPr>
        <w:t>Rightcare (2019) Neurodegenerative conditions toolkit.</w:t>
      </w:r>
      <w:r w:rsidRPr="00FB5291">
        <w:rPr>
          <w:rFonts w:asciiTheme="minorBidi" w:eastAsiaTheme="minorEastAsia" w:hAnsiTheme="minorBidi"/>
          <w:color w:val="000000" w:themeColor="text1"/>
          <w:sz w:val="20"/>
          <w:szCs w:val="20"/>
        </w:rPr>
        <w:t xml:space="preserve"> Available at: </w:t>
      </w:r>
      <w:r w:rsidR="00774EBD" w:rsidRPr="00FB5291">
        <w:rPr>
          <w:rFonts w:asciiTheme="minorBidi" w:eastAsiaTheme="minorEastAsia" w:hAnsiTheme="minorBidi"/>
          <w:color w:val="000000" w:themeColor="text1"/>
          <w:sz w:val="20"/>
          <w:szCs w:val="20"/>
        </w:rPr>
        <w:t>https://www.england.nhs.uk/rightcare</w:t>
      </w:r>
      <w:r w:rsidR="001A5CC3" w:rsidRPr="00FB5291">
        <w:rPr>
          <w:rFonts w:asciiTheme="minorBidi" w:eastAsiaTheme="minorEastAsia" w:hAnsiTheme="minorBidi"/>
          <w:color w:val="000000" w:themeColor="text1"/>
          <w:sz w:val="20"/>
          <w:szCs w:val="20"/>
        </w:rPr>
        <w:t xml:space="preserve"> [Accessed 12 May 2022]. </w:t>
      </w:r>
    </w:p>
    <w:p w14:paraId="0390B055" w14:textId="517EC32F" w:rsidR="0075394F" w:rsidRPr="00FB5291" w:rsidRDefault="0075394F" w:rsidP="0075394F">
      <w:pPr>
        <w:pStyle w:val="ListParagraph"/>
        <w:numPr>
          <w:ilvl w:val="0"/>
          <w:numId w:val="7"/>
        </w:numPr>
        <w:spacing w:line="360" w:lineRule="auto"/>
        <w:rPr>
          <w:rFonts w:asciiTheme="minorBidi" w:eastAsiaTheme="minorEastAsia" w:hAnsiTheme="minorBidi"/>
          <w:color w:val="000000" w:themeColor="text1"/>
          <w:sz w:val="20"/>
          <w:szCs w:val="20"/>
        </w:rPr>
      </w:pPr>
      <w:r w:rsidRPr="00FB5291">
        <w:rPr>
          <w:rFonts w:asciiTheme="minorBidi" w:hAnsiTheme="minorBidi"/>
          <w:color w:val="000000"/>
          <w:sz w:val="20"/>
          <w:szCs w:val="20"/>
          <w:shd w:val="clear" w:color="auto" w:fill="FFFFFF"/>
        </w:rPr>
        <w:t>Santhosh, G., 2018. </w:t>
      </w:r>
      <w:r w:rsidRPr="00FB5291">
        <w:rPr>
          <w:rFonts w:asciiTheme="minorBidi" w:hAnsiTheme="minorBidi"/>
          <w:i/>
          <w:iCs/>
          <w:color w:val="000000"/>
          <w:sz w:val="20"/>
          <w:szCs w:val="20"/>
          <w:shd w:val="clear" w:color="auto" w:fill="FFFFFF"/>
        </w:rPr>
        <w:t>How does Systems Thinking help Design Thinking?</w:t>
      </w:r>
      <w:r w:rsidRPr="00FB5291">
        <w:rPr>
          <w:rFonts w:asciiTheme="minorBidi" w:hAnsiTheme="minorBidi"/>
          <w:color w:val="000000"/>
          <w:sz w:val="20"/>
          <w:szCs w:val="20"/>
          <w:shd w:val="clear" w:color="auto" w:fill="FFFFFF"/>
        </w:rPr>
        <w:t>. [online] Medium. Available at: &lt;https://bootcamp.uxdesign.cc/how-does-systems-thinking-help-design-thinking-4553a7133e38&gt; [Accessed 15 May 2022].</w:t>
      </w:r>
    </w:p>
    <w:p w14:paraId="1495BC79" w14:textId="724E2A3C" w:rsidR="00944C05" w:rsidRPr="00FB5291" w:rsidRDefault="00944C05" w:rsidP="001163D5">
      <w:pPr>
        <w:pStyle w:val="ListParagraph"/>
        <w:numPr>
          <w:ilvl w:val="0"/>
          <w:numId w:val="7"/>
        </w:numPr>
        <w:spacing w:line="360" w:lineRule="auto"/>
        <w:rPr>
          <w:rFonts w:asciiTheme="minorBidi" w:eastAsiaTheme="minorEastAsia" w:hAnsiTheme="minorBidi"/>
          <w:color w:val="000000" w:themeColor="text1"/>
          <w:sz w:val="20"/>
          <w:szCs w:val="20"/>
        </w:rPr>
      </w:pPr>
      <w:r w:rsidRPr="00FB5291">
        <w:rPr>
          <w:rFonts w:asciiTheme="minorBidi" w:hAnsiTheme="minorBidi"/>
          <w:sz w:val="20"/>
          <w:szCs w:val="20"/>
          <w:lang w:val="nb-NO"/>
        </w:rPr>
        <w:t xml:space="preserve">Dorsey ER, Bloem BR, Okun MS. </w:t>
      </w:r>
      <w:r w:rsidRPr="00FB5291">
        <w:rPr>
          <w:rFonts w:asciiTheme="minorBidi" w:hAnsiTheme="minorBidi"/>
          <w:sz w:val="20"/>
          <w:szCs w:val="20"/>
        </w:rPr>
        <w:t>A new day: the role of telemedicine in reshaping care for persons with movement disorders. Movement Disorders. 2020 Nov;35(11):1897-902.</w:t>
      </w:r>
    </w:p>
    <w:p w14:paraId="49962600" w14:textId="3755AD46" w:rsidR="00DF4828" w:rsidRPr="00FB5291" w:rsidRDefault="00AE7111" w:rsidP="001163D5">
      <w:pPr>
        <w:pStyle w:val="ListParagraph"/>
        <w:numPr>
          <w:ilvl w:val="0"/>
          <w:numId w:val="7"/>
        </w:numPr>
        <w:spacing w:line="360" w:lineRule="auto"/>
        <w:rPr>
          <w:rStyle w:val="Hyperlink"/>
          <w:rFonts w:asciiTheme="minorBidi" w:eastAsiaTheme="minorEastAsia" w:hAnsiTheme="minorBidi"/>
          <w:color w:val="000000" w:themeColor="text1"/>
          <w:sz w:val="20"/>
          <w:szCs w:val="20"/>
          <w:u w:val="none"/>
        </w:rPr>
      </w:pPr>
      <w:r w:rsidRPr="00FB5291">
        <w:rPr>
          <w:rFonts w:asciiTheme="minorBidi" w:eastAsia="Calibri" w:hAnsiTheme="minorBidi"/>
          <w:color w:val="000000" w:themeColor="text1"/>
          <w:sz w:val="20"/>
          <w:szCs w:val="20"/>
          <w:lang w:val="en-GB"/>
        </w:rPr>
        <w:t xml:space="preserve">NHS. </w:t>
      </w:r>
      <w:r w:rsidR="00C04EB1" w:rsidRPr="00FB5291">
        <w:rPr>
          <w:rFonts w:asciiTheme="minorBidi" w:eastAsia="Calibri" w:hAnsiTheme="minorBidi"/>
          <w:color w:val="000000" w:themeColor="text1"/>
          <w:sz w:val="20"/>
          <w:szCs w:val="20"/>
          <w:lang w:val="en-GB"/>
        </w:rPr>
        <w:t xml:space="preserve">2020 </w:t>
      </w:r>
      <w:r w:rsidRPr="00FB5291">
        <w:rPr>
          <w:rFonts w:asciiTheme="minorBidi" w:eastAsia="Calibri" w:hAnsiTheme="minorBidi"/>
          <w:color w:val="000000" w:themeColor="text1"/>
          <w:sz w:val="20"/>
          <w:szCs w:val="20"/>
          <w:lang w:val="en-GB"/>
        </w:rPr>
        <w:t>Millions of patients benefiting from remote consultations as family doctors respond to COVID-19. [</w:t>
      </w:r>
      <w:r w:rsidR="00C04EB1" w:rsidRPr="00FB5291">
        <w:rPr>
          <w:rFonts w:asciiTheme="minorBidi" w:eastAsia="Calibri" w:hAnsiTheme="minorBidi"/>
          <w:color w:val="000000" w:themeColor="text1"/>
          <w:sz w:val="20"/>
          <w:szCs w:val="20"/>
          <w:lang w:val="en-GB"/>
        </w:rPr>
        <w:t>Online</w:t>
      </w:r>
      <w:r w:rsidRPr="00FB5291">
        <w:rPr>
          <w:rFonts w:asciiTheme="minorBidi" w:eastAsia="Calibri" w:hAnsiTheme="minorBidi"/>
          <w:color w:val="000000" w:themeColor="text1"/>
          <w:sz w:val="20"/>
          <w:szCs w:val="20"/>
          <w:lang w:val="en-GB"/>
        </w:rPr>
        <w:t xml:space="preserve">]. Available from: </w:t>
      </w:r>
      <w:r w:rsidR="00462F22" w:rsidRPr="00FB5291">
        <w:rPr>
          <w:rFonts w:asciiTheme="minorBidi" w:eastAsia="Calibri" w:hAnsiTheme="minorBidi"/>
          <w:sz w:val="20"/>
          <w:szCs w:val="20"/>
          <w:lang w:val="en-GB"/>
        </w:rPr>
        <w:t xml:space="preserve">https://www.england.nhs.uk/ </w:t>
      </w:r>
      <w:r w:rsidR="00462F22" w:rsidRPr="00FB5291">
        <w:rPr>
          <w:rFonts w:asciiTheme="minorBidi" w:eastAsia="Calibri" w:hAnsiTheme="minorBidi"/>
          <w:color w:val="000000" w:themeColor="text1"/>
          <w:sz w:val="20"/>
          <w:szCs w:val="20"/>
          <w:lang w:val="en-GB"/>
        </w:rPr>
        <w:t>[Accessed 24 mar 2021].</w:t>
      </w:r>
    </w:p>
    <w:p w14:paraId="211016EB" w14:textId="4CD400D4" w:rsidR="00F9385A" w:rsidRPr="00FB5291" w:rsidRDefault="00F9385A" w:rsidP="001163D5">
      <w:pPr>
        <w:pStyle w:val="ListParagraph"/>
        <w:numPr>
          <w:ilvl w:val="0"/>
          <w:numId w:val="7"/>
        </w:numPr>
        <w:spacing w:line="360" w:lineRule="auto"/>
        <w:rPr>
          <w:rStyle w:val="Hyperlink"/>
          <w:rFonts w:asciiTheme="minorBidi" w:eastAsiaTheme="minorEastAsia" w:hAnsiTheme="minorBidi"/>
          <w:color w:val="000000" w:themeColor="text1"/>
          <w:sz w:val="20"/>
          <w:szCs w:val="20"/>
          <w:u w:val="none"/>
        </w:rPr>
      </w:pPr>
      <w:r w:rsidRPr="00FB5291">
        <w:rPr>
          <w:rFonts w:asciiTheme="minorBidi" w:hAnsiTheme="minorBidi"/>
          <w:color w:val="000000"/>
          <w:sz w:val="20"/>
          <w:szCs w:val="20"/>
          <w:shd w:val="clear" w:color="auto" w:fill="FFFFFF"/>
        </w:rPr>
        <w:lastRenderedPageBreak/>
        <w:t>PD SELF. 2022. </w:t>
      </w:r>
      <w:r w:rsidRPr="00FB5291">
        <w:rPr>
          <w:rFonts w:asciiTheme="minorBidi" w:hAnsiTheme="minorBidi"/>
          <w:i/>
          <w:iCs/>
          <w:color w:val="000000"/>
          <w:sz w:val="20"/>
          <w:szCs w:val="20"/>
          <w:shd w:val="clear" w:color="auto" w:fill="FFFFFF"/>
        </w:rPr>
        <w:t>PD SELF Parkinson's Learning Forum</w:t>
      </w:r>
      <w:r w:rsidRPr="00FB5291">
        <w:rPr>
          <w:rFonts w:asciiTheme="minorBidi" w:hAnsiTheme="minorBidi"/>
          <w:color w:val="000000"/>
          <w:sz w:val="20"/>
          <w:szCs w:val="20"/>
          <w:shd w:val="clear" w:color="auto" w:fill="FFFFFF"/>
        </w:rPr>
        <w:t>. [online] Available at: &lt;https://www.pdself.org/&gt; [Accessed 19 May 2022].</w:t>
      </w:r>
    </w:p>
    <w:p w14:paraId="2F28D04A" w14:textId="674B29F9" w:rsidR="00F4520B" w:rsidRPr="00FB5291" w:rsidRDefault="00F4520B" w:rsidP="001163D5">
      <w:pPr>
        <w:pStyle w:val="ListParagraph"/>
        <w:numPr>
          <w:ilvl w:val="0"/>
          <w:numId w:val="7"/>
        </w:numPr>
        <w:spacing w:line="360" w:lineRule="auto"/>
        <w:rPr>
          <w:rFonts w:asciiTheme="minorBidi" w:eastAsiaTheme="minorEastAsia" w:hAnsiTheme="minorBidi"/>
          <w:color w:val="000000" w:themeColor="text1"/>
          <w:sz w:val="20"/>
          <w:szCs w:val="20"/>
        </w:rPr>
      </w:pPr>
      <w:r w:rsidRPr="00FB5291">
        <w:rPr>
          <w:rFonts w:asciiTheme="minorBidi" w:hAnsiTheme="minorBidi"/>
          <w:sz w:val="20"/>
          <w:szCs w:val="20"/>
        </w:rPr>
        <w:t>Hibbard JH, Cunningham PJ. </w:t>
      </w:r>
      <w:r w:rsidR="00DF4828" w:rsidRPr="00FB5291">
        <w:rPr>
          <w:rFonts w:asciiTheme="minorBidi" w:hAnsiTheme="minorBidi"/>
          <w:sz w:val="20"/>
          <w:szCs w:val="20"/>
        </w:rPr>
        <w:t xml:space="preserve">(2008) </w:t>
      </w:r>
      <w:r w:rsidRPr="00FB5291">
        <w:rPr>
          <w:rFonts w:asciiTheme="minorBidi" w:hAnsiTheme="minorBidi"/>
          <w:sz w:val="20"/>
          <w:szCs w:val="20"/>
        </w:rPr>
        <w:t>How engaged are consumers in their health and health care, and why does it matter. Res Brief</w:t>
      </w:r>
      <w:r w:rsidR="00DF4828" w:rsidRPr="00FB5291">
        <w:rPr>
          <w:rFonts w:asciiTheme="minorBidi" w:hAnsiTheme="minorBidi"/>
          <w:sz w:val="20"/>
          <w:szCs w:val="20"/>
        </w:rPr>
        <w:t>.</w:t>
      </w:r>
      <w:r w:rsidRPr="00FB5291">
        <w:rPr>
          <w:rFonts w:asciiTheme="minorBidi" w:hAnsiTheme="minorBidi"/>
          <w:sz w:val="20"/>
          <w:szCs w:val="20"/>
        </w:rPr>
        <w:t> 8: 1–9. </w:t>
      </w:r>
    </w:p>
    <w:p w14:paraId="1BEE299A" w14:textId="1ABEAA67" w:rsidR="00B74CEF" w:rsidRPr="001163D5" w:rsidRDefault="00B74CEF" w:rsidP="001163D5">
      <w:pPr>
        <w:spacing w:line="360" w:lineRule="auto"/>
        <w:jc w:val="center"/>
        <w:rPr>
          <w:rFonts w:asciiTheme="minorBidi" w:hAnsiTheme="minorBidi"/>
          <w:b/>
          <w:bCs/>
          <w:sz w:val="24"/>
          <w:szCs w:val="24"/>
        </w:rPr>
      </w:pPr>
    </w:p>
    <w:p w14:paraId="1F9BE066" w14:textId="77777777" w:rsidR="00B74CEF" w:rsidRPr="001163D5" w:rsidRDefault="00B74CEF" w:rsidP="001163D5">
      <w:pPr>
        <w:spacing w:line="360" w:lineRule="auto"/>
        <w:jc w:val="center"/>
        <w:rPr>
          <w:rFonts w:asciiTheme="minorBidi" w:hAnsiTheme="minorBidi"/>
          <w:b/>
          <w:bCs/>
          <w:sz w:val="24"/>
          <w:szCs w:val="24"/>
        </w:rPr>
      </w:pPr>
    </w:p>
    <w:p w14:paraId="6EC3C614" w14:textId="4DC0F966" w:rsidR="0996AAF7" w:rsidRPr="001163D5" w:rsidRDefault="0996AAF7" w:rsidP="001163D5">
      <w:pPr>
        <w:spacing w:line="360" w:lineRule="auto"/>
        <w:rPr>
          <w:rFonts w:asciiTheme="minorBidi" w:eastAsia="Calibri" w:hAnsiTheme="minorBidi"/>
          <w:sz w:val="24"/>
          <w:szCs w:val="24"/>
        </w:rPr>
      </w:pPr>
    </w:p>
    <w:p w14:paraId="6B8E3F88" w14:textId="10B2C8A0" w:rsidR="45AD26C1" w:rsidRPr="001163D5" w:rsidRDefault="45AD26C1" w:rsidP="001163D5">
      <w:pPr>
        <w:spacing w:line="360" w:lineRule="auto"/>
        <w:jc w:val="center"/>
        <w:rPr>
          <w:rFonts w:asciiTheme="minorBidi" w:hAnsiTheme="minorBidi"/>
          <w:b/>
          <w:bCs/>
          <w:sz w:val="24"/>
          <w:szCs w:val="24"/>
        </w:rPr>
      </w:pPr>
    </w:p>
    <w:sectPr w:rsidR="45AD26C1" w:rsidRPr="00116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962"/>
    <w:multiLevelType w:val="hybridMultilevel"/>
    <w:tmpl w:val="3C365996"/>
    <w:lvl w:ilvl="0" w:tplc="5B648816">
      <w:start w:val="1"/>
      <w:numFmt w:val="decimal"/>
      <w:lvlText w:val="%1."/>
      <w:lvlJc w:val="left"/>
      <w:pPr>
        <w:ind w:left="720" w:hanging="360"/>
      </w:pPr>
    </w:lvl>
    <w:lvl w:ilvl="1" w:tplc="382C6F54">
      <w:start w:val="1"/>
      <w:numFmt w:val="lowerLetter"/>
      <w:lvlText w:val="%2."/>
      <w:lvlJc w:val="left"/>
      <w:pPr>
        <w:ind w:left="1440" w:hanging="360"/>
      </w:pPr>
    </w:lvl>
    <w:lvl w:ilvl="2" w:tplc="6BCCC932">
      <w:start w:val="1"/>
      <w:numFmt w:val="lowerRoman"/>
      <w:lvlText w:val="%3."/>
      <w:lvlJc w:val="right"/>
      <w:pPr>
        <w:ind w:left="2160" w:hanging="180"/>
      </w:pPr>
    </w:lvl>
    <w:lvl w:ilvl="3" w:tplc="09485726">
      <w:start w:val="1"/>
      <w:numFmt w:val="decimal"/>
      <w:lvlText w:val="%4."/>
      <w:lvlJc w:val="left"/>
      <w:pPr>
        <w:ind w:left="2880" w:hanging="360"/>
      </w:pPr>
    </w:lvl>
    <w:lvl w:ilvl="4" w:tplc="B7F0FFC8">
      <w:start w:val="1"/>
      <w:numFmt w:val="lowerLetter"/>
      <w:lvlText w:val="%5."/>
      <w:lvlJc w:val="left"/>
      <w:pPr>
        <w:ind w:left="3600" w:hanging="360"/>
      </w:pPr>
    </w:lvl>
    <w:lvl w:ilvl="5" w:tplc="4206495C">
      <w:start w:val="1"/>
      <w:numFmt w:val="lowerRoman"/>
      <w:lvlText w:val="%6."/>
      <w:lvlJc w:val="right"/>
      <w:pPr>
        <w:ind w:left="4320" w:hanging="180"/>
      </w:pPr>
    </w:lvl>
    <w:lvl w:ilvl="6" w:tplc="ADB0EC08">
      <w:start w:val="1"/>
      <w:numFmt w:val="decimal"/>
      <w:lvlText w:val="%7."/>
      <w:lvlJc w:val="left"/>
      <w:pPr>
        <w:ind w:left="5040" w:hanging="360"/>
      </w:pPr>
    </w:lvl>
    <w:lvl w:ilvl="7" w:tplc="A41AED46">
      <w:start w:val="1"/>
      <w:numFmt w:val="lowerLetter"/>
      <w:lvlText w:val="%8."/>
      <w:lvlJc w:val="left"/>
      <w:pPr>
        <w:ind w:left="5760" w:hanging="360"/>
      </w:pPr>
    </w:lvl>
    <w:lvl w:ilvl="8" w:tplc="47D89918">
      <w:start w:val="1"/>
      <w:numFmt w:val="lowerRoman"/>
      <w:lvlText w:val="%9."/>
      <w:lvlJc w:val="right"/>
      <w:pPr>
        <w:ind w:left="6480" w:hanging="180"/>
      </w:pPr>
    </w:lvl>
  </w:abstractNum>
  <w:abstractNum w:abstractNumId="1" w15:restartNumberingAfterBreak="0">
    <w:nsid w:val="1F5378D1"/>
    <w:multiLevelType w:val="hybridMultilevel"/>
    <w:tmpl w:val="D2E88A18"/>
    <w:lvl w:ilvl="0" w:tplc="0D3860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775B2E"/>
    <w:multiLevelType w:val="hybridMultilevel"/>
    <w:tmpl w:val="05224370"/>
    <w:lvl w:ilvl="0" w:tplc="B2109C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B10A58"/>
    <w:multiLevelType w:val="hybridMultilevel"/>
    <w:tmpl w:val="E1E49A24"/>
    <w:lvl w:ilvl="0" w:tplc="C25E0E8C">
      <w:start w:val="1"/>
      <w:numFmt w:val="bullet"/>
      <w:lvlText w:val=""/>
      <w:lvlJc w:val="left"/>
      <w:pPr>
        <w:ind w:left="720" w:hanging="360"/>
      </w:pPr>
      <w:rPr>
        <w:rFonts w:ascii="Symbol" w:hAnsi="Symbol" w:hint="default"/>
      </w:rPr>
    </w:lvl>
    <w:lvl w:ilvl="1" w:tplc="66706678">
      <w:start w:val="1"/>
      <w:numFmt w:val="bullet"/>
      <w:lvlText w:val="o"/>
      <w:lvlJc w:val="left"/>
      <w:pPr>
        <w:ind w:left="1440" w:hanging="360"/>
      </w:pPr>
      <w:rPr>
        <w:rFonts w:ascii="Courier New" w:hAnsi="Courier New" w:hint="default"/>
      </w:rPr>
    </w:lvl>
    <w:lvl w:ilvl="2" w:tplc="A4363076">
      <w:start w:val="1"/>
      <w:numFmt w:val="bullet"/>
      <w:lvlText w:val=""/>
      <w:lvlJc w:val="left"/>
      <w:pPr>
        <w:ind w:left="2160" w:hanging="360"/>
      </w:pPr>
      <w:rPr>
        <w:rFonts w:ascii="Wingdings" w:hAnsi="Wingdings" w:hint="default"/>
      </w:rPr>
    </w:lvl>
    <w:lvl w:ilvl="3" w:tplc="89923BDC">
      <w:start w:val="1"/>
      <w:numFmt w:val="bullet"/>
      <w:lvlText w:val=""/>
      <w:lvlJc w:val="left"/>
      <w:pPr>
        <w:ind w:left="2880" w:hanging="360"/>
      </w:pPr>
      <w:rPr>
        <w:rFonts w:ascii="Symbol" w:hAnsi="Symbol" w:hint="default"/>
      </w:rPr>
    </w:lvl>
    <w:lvl w:ilvl="4" w:tplc="C9C07A9A">
      <w:start w:val="1"/>
      <w:numFmt w:val="bullet"/>
      <w:lvlText w:val="o"/>
      <w:lvlJc w:val="left"/>
      <w:pPr>
        <w:ind w:left="3600" w:hanging="360"/>
      </w:pPr>
      <w:rPr>
        <w:rFonts w:ascii="Courier New" w:hAnsi="Courier New" w:hint="default"/>
      </w:rPr>
    </w:lvl>
    <w:lvl w:ilvl="5" w:tplc="C64CF14A">
      <w:start w:val="1"/>
      <w:numFmt w:val="bullet"/>
      <w:lvlText w:val=""/>
      <w:lvlJc w:val="left"/>
      <w:pPr>
        <w:ind w:left="4320" w:hanging="360"/>
      </w:pPr>
      <w:rPr>
        <w:rFonts w:ascii="Wingdings" w:hAnsi="Wingdings" w:hint="default"/>
      </w:rPr>
    </w:lvl>
    <w:lvl w:ilvl="6" w:tplc="64767432">
      <w:start w:val="1"/>
      <w:numFmt w:val="bullet"/>
      <w:lvlText w:val=""/>
      <w:lvlJc w:val="left"/>
      <w:pPr>
        <w:ind w:left="5040" w:hanging="360"/>
      </w:pPr>
      <w:rPr>
        <w:rFonts w:ascii="Symbol" w:hAnsi="Symbol" w:hint="default"/>
      </w:rPr>
    </w:lvl>
    <w:lvl w:ilvl="7" w:tplc="FFAC35A0">
      <w:start w:val="1"/>
      <w:numFmt w:val="bullet"/>
      <w:lvlText w:val="o"/>
      <w:lvlJc w:val="left"/>
      <w:pPr>
        <w:ind w:left="5760" w:hanging="360"/>
      </w:pPr>
      <w:rPr>
        <w:rFonts w:ascii="Courier New" w:hAnsi="Courier New" w:hint="default"/>
      </w:rPr>
    </w:lvl>
    <w:lvl w:ilvl="8" w:tplc="B98232D2">
      <w:start w:val="1"/>
      <w:numFmt w:val="bullet"/>
      <w:lvlText w:val=""/>
      <w:lvlJc w:val="left"/>
      <w:pPr>
        <w:ind w:left="6480" w:hanging="360"/>
      </w:pPr>
      <w:rPr>
        <w:rFonts w:ascii="Wingdings" w:hAnsi="Wingdings" w:hint="default"/>
      </w:rPr>
    </w:lvl>
  </w:abstractNum>
  <w:abstractNum w:abstractNumId="4" w15:restartNumberingAfterBreak="0">
    <w:nsid w:val="4DAB4C45"/>
    <w:multiLevelType w:val="hybridMultilevel"/>
    <w:tmpl w:val="10B2C7F2"/>
    <w:lvl w:ilvl="0" w:tplc="16261968">
      <w:start w:val="15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706AF"/>
    <w:multiLevelType w:val="hybridMultilevel"/>
    <w:tmpl w:val="24B47C5C"/>
    <w:lvl w:ilvl="0" w:tplc="6004F7D4">
      <w:start w:val="1"/>
      <w:numFmt w:val="bullet"/>
      <w:lvlText w:val=""/>
      <w:lvlJc w:val="left"/>
      <w:pPr>
        <w:ind w:left="720" w:hanging="360"/>
      </w:pPr>
      <w:rPr>
        <w:rFonts w:ascii="Symbol" w:hAnsi="Symbol" w:hint="default"/>
      </w:rPr>
    </w:lvl>
    <w:lvl w:ilvl="1" w:tplc="3A44C240">
      <w:start w:val="1"/>
      <w:numFmt w:val="bullet"/>
      <w:lvlText w:val="o"/>
      <w:lvlJc w:val="left"/>
      <w:pPr>
        <w:ind w:left="1440" w:hanging="360"/>
      </w:pPr>
      <w:rPr>
        <w:rFonts w:ascii="Courier New" w:hAnsi="Courier New" w:hint="default"/>
      </w:rPr>
    </w:lvl>
    <w:lvl w:ilvl="2" w:tplc="8A822196">
      <w:start w:val="1"/>
      <w:numFmt w:val="bullet"/>
      <w:lvlText w:val=""/>
      <w:lvlJc w:val="left"/>
      <w:pPr>
        <w:ind w:left="2160" w:hanging="360"/>
      </w:pPr>
      <w:rPr>
        <w:rFonts w:ascii="Wingdings" w:hAnsi="Wingdings" w:hint="default"/>
      </w:rPr>
    </w:lvl>
    <w:lvl w:ilvl="3" w:tplc="EC9E1E14">
      <w:start w:val="1"/>
      <w:numFmt w:val="bullet"/>
      <w:lvlText w:val=""/>
      <w:lvlJc w:val="left"/>
      <w:pPr>
        <w:ind w:left="2880" w:hanging="360"/>
      </w:pPr>
      <w:rPr>
        <w:rFonts w:ascii="Symbol" w:hAnsi="Symbol" w:hint="default"/>
      </w:rPr>
    </w:lvl>
    <w:lvl w:ilvl="4" w:tplc="44804786">
      <w:start w:val="1"/>
      <w:numFmt w:val="bullet"/>
      <w:lvlText w:val="o"/>
      <w:lvlJc w:val="left"/>
      <w:pPr>
        <w:ind w:left="3600" w:hanging="360"/>
      </w:pPr>
      <w:rPr>
        <w:rFonts w:ascii="Courier New" w:hAnsi="Courier New" w:hint="default"/>
      </w:rPr>
    </w:lvl>
    <w:lvl w:ilvl="5" w:tplc="7138E8E0">
      <w:start w:val="1"/>
      <w:numFmt w:val="bullet"/>
      <w:lvlText w:val=""/>
      <w:lvlJc w:val="left"/>
      <w:pPr>
        <w:ind w:left="4320" w:hanging="360"/>
      </w:pPr>
      <w:rPr>
        <w:rFonts w:ascii="Wingdings" w:hAnsi="Wingdings" w:hint="default"/>
      </w:rPr>
    </w:lvl>
    <w:lvl w:ilvl="6" w:tplc="9CC26F3C">
      <w:start w:val="1"/>
      <w:numFmt w:val="bullet"/>
      <w:lvlText w:val=""/>
      <w:lvlJc w:val="left"/>
      <w:pPr>
        <w:ind w:left="5040" w:hanging="360"/>
      </w:pPr>
      <w:rPr>
        <w:rFonts w:ascii="Symbol" w:hAnsi="Symbol" w:hint="default"/>
      </w:rPr>
    </w:lvl>
    <w:lvl w:ilvl="7" w:tplc="A9C67CDE">
      <w:start w:val="1"/>
      <w:numFmt w:val="bullet"/>
      <w:lvlText w:val="o"/>
      <w:lvlJc w:val="left"/>
      <w:pPr>
        <w:ind w:left="5760" w:hanging="360"/>
      </w:pPr>
      <w:rPr>
        <w:rFonts w:ascii="Courier New" w:hAnsi="Courier New" w:hint="default"/>
      </w:rPr>
    </w:lvl>
    <w:lvl w:ilvl="8" w:tplc="E18C6000">
      <w:start w:val="1"/>
      <w:numFmt w:val="bullet"/>
      <w:lvlText w:val=""/>
      <w:lvlJc w:val="left"/>
      <w:pPr>
        <w:ind w:left="6480" w:hanging="360"/>
      </w:pPr>
      <w:rPr>
        <w:rFonts w:ascii="Wingdings" w:hAnsi="Wingdings" w:hint="default"/>
      </w:rPr>
    </w:lvl>
  </w:abstractNum>
  <w:abstractNum w:abstractNumId="6" w15:restartNumberingAfterBreak="0">
    <w:nsid w:val="70AF3E04"/>
    <w:multiLevelType w:val="hybridMultilevel"/>
    <w:tmpl w:val="A732D510"/>
    <w:lvl w:ilvl="0" w:tplc="7CF2E9C4">
      <w:start w:val="1"/>
      <w:numFmt w:val="bullet"/>
      <w:lvlText w:val=""/>
      <w:lvlJc w:val="left"/>
      <w:pPr>
        <w:ind w:left="720" w:hanging="360"/>
      </w:pPr>
      <w:rPr>
        <w:rFonts w:ascii="Symbol" w:hAnsi="Symbol" w:hint="default"/>
      </w:rPr>
    </w:lvl>
    <w:lvl w:ilvl="1" w:tplc="879AB43A">
      <w:start w:val="1"/>
      <w:numFmt w:val="bullet"/>
      <w:lvlText w:val="o"/>
      <w:lvlJc w:val="left"/>
      <w:pPr>
        <w:ind w:left="1440" w:hanging="360"/>
      </w:pPr>
      <w:rPr>
        <w:rFonts w:ascii="Courier New" w:hAnsi="Courier New" w:hint="default"/>
      </w:rPr>
    </w:lvl>
    <w:lvl w:ilvl="2" w:tplc="BC463A6A">
      <w:start w:val="1"/>
      <w:numFmt w:val="bullet"/>
      <w:lvlText w:val=""/>
      <w:lvlJc w:val="left"/>
      <w:pPr>
        <w:ind w:left="2160" w:hanging="360"/>
      </w:pPr>
      <w:rPr>
        <w:rFonts w:ascii="Wingdings" w:hAnsi="Wingdings" w:hint="default"/>
      </w:rPr>
    </w:lvl>
    <w:lvl w:ilvl="3" w:tplc="850EED02">
      <w:start w:val="1"/>
      <w:numFmt w:val="bullet"/>
      <w:lvlText w:val=""/>
      <w:lvlJc w:val="left"/>
      <w:pPr>
        <w:ind w:left="2880" w:hanging="360"/>
      </w:pPr>
      <w:rPr>
        <w:rFonts w:ascii="Symbol" w:hAnsi="Symbol" w:hint="default"/>
      </w:rPr>
    </w:lvl>
    <w:lvl w:ilvl="4" w:tplc="2E8048BE">
      <w:start w:val="1"/>
      <w:numFmt w:val="bullet"/>
      <w:lvlText w:val="o"/>
      <w:lvlJc w:val="left"/>
      <w:pPr>
        <w:ind w:left="3600" w:hanging="360"/>
      </w:pPr>
      <w:rPr>
        <w:rFonts w:ascii="Courier New" w:hAnsi="Courier New" w:hint="default"/>
      </w:rPr>
    </w:lvl>
    <w:lvl w:ilvl="5" w:tplc="F312B656">
      <w:start w:val="1"/>
      <w:numFmt w:val="bullet"/>
      <w:lvlText w:val=""/>
      <w:lvlJc w:val="left"/>
      <w:pPr>
        <w:ind w:left="4320" w:hanging="360"/>
      </w:pPr>
      <w:rPr>
        <w:rFonts w:ascii="Wingdings" w:hAnsi="Wingdings" w:hint="default"/>
      </w:rPr>
    </w:lvl>
    <w:lvl w:ilvl="6" w:tplc="7672545A">
      <w:start w:val="1"/>
      <w:numFmt w:val="bullet"/>
      <w:lvlText w:val=""/>
      <w:lvlJc w:val="left"/>
      <w:pPr>
        <w:ind w:left="5040" w:hanging="360"/>
      </w:pPr>
      <w:rPr>
        <w:rFonts w:ascii="Symbol" w:hAnsi="Symbol" w:hint="default"/>
      </w:rPr>
    </w:lvl>
    <w:lvl w:ilvl="7" w:tplc="5FD838B8">
      <w:start w:val="1"/>
      <w:numFmt w:val="bullet"/>
      <w:lvlText w:val="o"/>
      <w:lvlJc w:val="left"/>
      <w:pPr>
        <w:ind w:left="5760" w:hanging="360"/>
      </w:pPr>
      <w:rPr>
        <w:rFonts w:ascii="Courier New" w:hAnsi="Courier New" w:hint="default"/>
      </w:rPr>
    </w:lvl>
    <w:lvl w:ilvl="8" w:tplc="6CB835AC">
      <w:start w:val="1"/>
      <w:numFmt w:val="bullet"/>
      <w:lvlText w:val=""/>
      <w:lvlJc w:val="left"/>
      <w:pPr>
        <w:ind w:left="6480" w:hanging="360"/>
      </w:pPr>
      <w:rPr>
        <w:rFonts w:ascii="Wingdings" w:hAnsi="Wingdings" w:hint="default"/>
      </w:rPr>
    </w:lvl>
  </w:abstractNum>
  <w:num w:numId="1" w16cid:durableId="642319500">
    <w:abstractNumId w:val="0"/>
  </w:num>
  <w:num w:numId="2" w16cid:durableId="2031880061">
    <w:abstractNumId w:val="5"/>
  </w:num>
  <w:num w:numId="3" w16cid:durableId="795297617">
    <w:abstractNumId w:val="6"/>
  </w:num>
  <w:num w:numId="4" w16cid:durableId="1971008062">
    <w:abstractNumId w:val="3"/>
  </w:num>
  <w:num w:numId="5" w16cid:durableId="1673028220">
    <w:abstractNumId w:val="4"/>
  </w:num>
  <w:num w:numId="6" w16cid:durableId="542447029">
    <w:abstractNumId w:val="1"/>
  </w:num>
  <w:num w:numId="7" w16cid:durableId="197271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C01EA9"/>
    <w:rsid w:val="000057A7"/>
    <w:rsid w:val="000334DC"/>
    <w:rsid w:val="000373F7"/>
    <w:rsid w:val="00042AA7"/>
    <w:rsid w:val="000440B0"/>
    <w:rsid w:val="000513AD"/>
    <w:rsid w:val="00051BDD"/>
    <w:rsid w:val="0007687A"/>
    <w:rsid w:val="00077653"/>
    <w:rsid w:val="00080C3A"/>
    <w:rsid w:val="0008251F"/>
    <w:rsid w:val="00084EC1"/>
    <w:rsid w:val="00086AF4"/>
    <w:rsid w:val="00087ECE"/>
    <w:rsid w:val="00095B09"/>
    <w:rsid w:val="00096D4E"/>
    <w:rsid w:val="000B46B8"/>
    <w:rsid w:val="000B6835"/>
    <w:rsid w:val="000C470C"/>
    <w:rsid w:val="00106751"/>
    <w:rsid w:val="00115C18"/>
    <w:rsid w:val="001163D5"/>
    <w:rsid w:val="00122B73"/>
    <w:rsid w:val="001235F6"/>
    <w:rsid w:val="00126680"/>
    <w:rsid w:val="00130DDE"/>
    <w:rsid w:val="0014653A"/>
    <w:rsid w:val="00147B13"/>
    <w:rsid w:val="001504E8"/>
    <w:rsid w:val="001577AC"/>
    <w:rsid w:val="001708A7"/>
    <w:rsid w:val="001802BD"/>
    <w:rsid w:val="001854F6"/>
    <w:rsid w:val="00197488"/>
    <w:rsid w:val="001A1FB6"/>
    <w:rsid w:val="001A5CC3"/>
    <w:rsid w:val="001B36A2"/>
    <w:rsid w:val="001D0952"/>
    <w:rsid w:val="001D6407"/>
    <w:rsid w:val="001E3C44"/>
    <w:rsid w:val="001F1126"/>
    <w:rsid w:val="001F1751"/>
    <w:rsid w:val="001F220C"/>
    <w:rsid w:val="001F519A"/>
    <w:rsid w:val="002056DB"/>
    <w:rsid w:val="002209D4"/>
    <w:rsid w:val="00223ED6"/>
    <w:rsid w:val="0022464B"/>
    <w:rsid w:val="002368BE"/>
    <w:rsid w:val="00252DBF"/>
    <w:rsid w:val="0025556F"/>
    <w:rsid w:val="00263F7A"/>
    <w:rsid w:val="0026733F"/>
    <w:rsid w:val="0027568A"/>
    <w:rsid w:val="00284A28"/>
    <w:rsid w:val="002920AA"/>
    <w:rsid w:val="00292FFA"/>
    <w:rsid w:val="002A682D"/>
    <w:rsid w:val="002B012B"/>
    <w:rsid w:val="002B77F3"/>
    <w:rsid w:val="002C021E"/>
    <w:rsid w:val="002C0D6D"/>
    <w:rsid w:val="002C159A"/>
    <w:rsid w:val="002C440E"/>
    <w:rsid w:val="002D698E"/>
    <w:rsid w:val="002D6CC8"/>
    <w:rsid w:val="002D7E1F"/>
    <w:rsid w:val="002E09A5"/>
    <w:rsid w:val="002E4DD0"/>
    <w:rsid w:val="002E63C8"/>
    <w:rsid w:val="002F0B37"/>
    <w:rsid w:val="0031083B"/>
    <w:rsid w:val="0033308C"/>
    <w:rsid w:val="003441D8"/>
    <w:rsid w:val="00346CA6"/>
    <w:rsid w:val="003512E7"/>
    <w:rsid w:val="00353396"/>
    <w:rsid w:val="00354A4B"/>
    <w:rsid w:val="0035600F"/>
    <w:rsid w:val="00366D33"/>
    <w:rsid w:val="0037376A"/>
    <w:rsid w:val="00374E84"/>
    <w:rsid w:val="00382A43"/>
    <w:rsid w:val="003D43D4"/>
    <w:rsid w:val="003D70B4"/>
    <w:rsid w:val="003D79BB"/>
    <w:rsid w:val="003F3019"/>
    <w:rsid w:val="003F3E6D"/>
    <w:rsid w:val="003F4B10"/>
    <w:rsid w:val="00400FA2"/>
    <w:rsid w:val="00401228"/>
    <w:rsid w:val="004065E2"/>
    <w:rsid w:val="00413C9D"/>
    <w:rsid w:val="00424B83"/>
    <w:rsid w:val="00436F9C"/>
    <w:rsid w:val="00440825"/>
    <w:rsid w:val="004420F3"/>
    <w:rsid w:val="00443953"/>
    <w:rsid w:val="00446019"/>
    <w:rsid w:val="00462F22"/>
    <w:rsid w:val="004653D7"/>
    <w:rsid w:val="00466701"/>
    <w:rsid w:val="0048558B"/>
    <w:rsid w:val="00487CDE"/>
    <w:rsid w:val="00497737"/>
    <w:rsid w:val="004A5D8D"/>
    <w:rsid w:val="004B41FB"/>
    <w:rsid w:val="004B580B"/>
    <w:rsid w:val="004B6DF6"/>
    <w:rsid w:val="004C217E"/>
    <w:rsid w:val="004C3DD9"/>
    <w:rsid w:val="004C5D45"/>
    <w:rsid w:val="004C6F12"/>
    <w:rsid w:val="004D1963"/>
    <w:rsid w:val="004D33CE"/>
    <w:rsid w:val="004D6D17"/>
    <w:rsid w:val="004E3BF4"/>
    <w:rsid w:val="004F3760"/>
    <w:rsid w:val="004F72D0"/>
    <w:rsid w:val="00522EC5"/>
    <w:rsid w:val="00524839"/>
    <w:rsid w:val="00525F82"/>
    <w:rsid w:val="00532C45"/>
    <w:rsid w:val="0054203D"/>
    <w:rsid w:val="0055292C"/>
    <w:rsid w:val="00571629"/>
    <w:rsid w:val="00577EDF"/>
    <w:rsid w:val="0058300D"/>
    <w:rsid w:val="0059436D"/>
    <w:rsid w:val="005A0D86"/>
    <w:rsid w:val="005A6CCD"/>
    <w:rsid w:val="005D6348"/>
    <w:rsid w:val="005E0D86"/>
    <w:rsid w:val="005E19C8"/>
    <w:rsid w:val="005E702B"/>
    <w:rsid w:val="00601E43"/>
    <w:rsid w:val="006346DF"/>
    <w:rsid w:val="0063483A"/>
    <w:rsid w:val="00635139"/>
    <w:rsid w:val="00652287"/>
    <w:rsid w:val="00654B11"/>
    <w:rsid w:val="00656072"/>
    <w:rsid w:val="00656E06"/>
    <w:rsid w:val="006579C3"/>
    <w:rsid w:val="0066263E"/>
    <w:rsid w:val="006710DC"/>
    <w:rsid w:val="00683318"/>
    <w:rsid w:val="006838B7"/>
    <w:rsid w:val="006A79E1"/>
    <w:rsid w:val="006B421E"/>
    <w:rsid w:val="006C397D"/>
    <w:rsid w:val="006D472C"/>
    <w:rsid w:val="006F3375"/>
    <w:rsid w:val="006F4CDD"/>
    <w:rsid w:val="00701D84"/>
    <w:rsid w:val="0070652E"/>
    <w:rsid w:val="00723A88"/>
    <w:rsid w:val="007241BF"/>
    <w:rsid w:val="007306F5"/>
    <w:rsid w:val="007327DF"/>
    <w:rsid w:val="0075394F"/>
    <w:rsid w:val="00763551"/>
    <w:rsid w:val="00765E57"/>
    <w:rsid w:val="00774EBD"/>
    <w:rsid w:val="00790A41"/>
    <w:rsid w:val="00793A31"/>
    <w:rsid w:val="007D3AB5"/>
    <w:rsid w:val="007D57B3"/>
    <w:rsid w:val="007F0E5B"/>
    <w:rsid w:val="00800E14"/>
    <w:rsid w:val="00807BD6"/>
    <w:rsid w:val="0081417F"/>
    <w:rsid w:val="00814CE9"/>
    <w:rsid w:val="008248A3"/>
    <w:rsid w:val="008425B1"/>
    <w:rsid w:val="0087067F"/>
    <w:rsid w:val="00877E90"/>
    <w:rsid w:val="008822B9"/>
    <w:rsid w:val="008834A9"/>
    <w:rsid w:val="0089646A"/>
    <w:rsid w:val="00897124"/>
    <w:rsid w:val="008A4782"/>
    <w:rsid w:val="008A488E"/>
    <w:rsid w:val="008C1A8D"/>
    <w:rsid w:val="008C5DD5"/>
    <w:rsid w:val="008C6E1E"/>
    <w:rsid w:val="008D2BFC"/>
    <w:rsid w:val="008D71DC"/>
    <w:rsid w:val="008E3DC3"/>
    <w:rsid w:val="008F1CDB"/>
    <w:rsid w:val="008F74C1"/>
    <w:rsid w:val="00904EA8"/>
    <w:rsid w:val="009068FE"/>
    <w:rsid w:val="00912D7C"/>
    <w:rsid w:val="009148FE"/>
    <w:rsid w:val="009172DC"/>
    <w:rsid w:val="009245B8"/>
    <w:rsid w:val="009257FD"/>
    <w:rsid w:val="009278DE"/>
    <w:rsid w:val="00944C05"/>
    <w:rsid w:val="009522C4"/>
    <w:rsid w:val="00954899"/>
    <w:rsid w:val="00955013"/>
    <w:rsid w:val="009558D2"/>
    <w:rsid w:val="009621CE"/>
    <w:rsid w:val="00972B57"/>
    <w:rsid w:val="00975614"/>
    <w:rsid w:val="009A5657"/>
    <w:rsid w:val="009B114A"/>
    <w:rsid w:val="009B4FCB"/>
    <w:rsid w:val="009D3FF9"/>
    <w:rsid w:val="009E0AC7"/>
    <w:rsid w:val="009E6364"/>
    <w:rsid w:val="009F0C1D"/>
    <w:rsid w:val="009F4363"/>
    <w:rsid w:val="009F4E4D"/>
    <w:rsid w:val="00A10538"/>
    <w:rsid w:val="00A1309B"/>
    <w:rsid w:val="00A15652"/>
    <w:rsid w:val="00A1682E"/>
    <w:rsid w:val="00A20EC4"/>
    <w:rsid w:val="00A26BF7"/>
    <w:rsid w:val="00A42D9C"/>
    <w:rsid w:val="00A435C7"/>
    <w:rsid w:val="00A51B4B"/>
    <w:rsid w:val="00A63D63"/>
    <w:rsid w:val="00A67A58"/>
    <w:rsid w:val="00A73AFB"/>
    <w:rsid w:val="00A7776D"/>
    <w:rsid w:val="00A81A97"/>
    <w:rsid w:val="00A81E5C"/>
    <w:rsid w:val="00A86489"/>
    <w:rsid w:val="00A9106B"/>
    <w:rsid w:val="00AA6552"/>
    <w:rsid w:val="00AA6F4F"/>
    <w:rsid w:val="00AC34DB"/>
    <w:rsid w:val="00AD572E"/>
    <w:rsid w:val="00AE5BF2"/>
    <w:rsid w:val="00AE7111"/>
    <w:rsid w:val="00B00807"/>
    <w:rsid w:val="00B048C1"/>
    <w:rsid w:val="00B0690F"/>
    <w:rsid w:val="00B11272"/>
    <w:rsid w:val="00B22B45"/>
    <w:rsid w:val="00B3034C"/>
    <w:rsid w:val="00B3331D"/>
    <w:rsid w:val="00B367AF"/>
    <w:rsid w:val="00B41276"/>
    <w:rsid w:val="00B444F7"/>
    <w:rsid w:val="00B54B03"/>
    <w:rsid w:val="00B55B5D"/>
    <w:rsid w:val="00B61B5E"/>
    <w:rsid w:val="00B61E16"/>
    <w:rsid w:val="00B74CEF"/>
    <w:rsid w:val="00B75551"/>
    <w:rsid w:val="00B967A3"/>
    <w:rsid w:val="00BA3228"/>
    <w:rsid w:val="00BB5608"/>
    <w:rsid w:val="00BB7286"/>
    <w:rsid w:val="00BC6B85"/>
    <w:rsid w:val="00BD4785"/>
    <w:rsid w:val="00BD484A"/>
    <w:rsid w:val="00BE1D8E"/>
    <w:rsid w:val="00BF21F3"/>
    <w:rsid w:val="00BF27ED"/>
    <w:rsid w:val="00BF5959"/>
    <w:rsid w:val="00BF5E97"/>
    <w:rsid w:val="00C04EB1"/>
    <w:rsid w:val="00C10DD0"/>
    <w:rsid w:val="00C1556D"/>
    <w:rsid w:val="00C20DAF"/>
    <w:rsid w:val="00C2209E"/>
    <w:rsid w:val="00C241D9"/>
    <w:rsid w:val="00C24A08"/>
    <w:rsid w:val="00C25586"/>
    <w:rsid w:val="00C27B05"/>
    <w:rsid w:val="00C33014"/>
    <w:rsid w:val="00C405EF"/>
    <w:rsid w:val="00C51BBF"/>
    <w:rsid w:val="00C6038E"/>
    <w:rsid w:val="00C64445"/>
    <w:rsid w:val="00C66A4F"/>
    <w:rsid w:val="00C672A9"/>
    <w:rsid w:val="00C7190A"/>
    <w:rsid w:val="00C828A4"/>
    <w:rsid w:val="00C877A6"/>
    <w:rsid w:val="00C90D89"/>
    <w:rsid w:val="00C96B92"/>
    <w:rsid w:val="00C96DB1"/>
    <w:rsid w:val="00CA0138"/>
    <w:rsid w:val="00CA1D32"/>
    <w:rsid w:val="00CA1FA9"/>
    <w:rsid w:val="00CA2991"/>
    <w:rsid w:val="00CB1399"/>
    <w:rsid w:val="00CB22D5"/>
    <w:rsid w:val="00CB3C9E"/>
    <w:rsid w:val="00CD19A1"/>
    <w:rsid w:val="00CF0691"/>
    <w:rsid w:val="00D01D06"/>
    <w:rsid w:val="00D04F32"/>
    <w:rsid w:val="00D101C5"/>
    <w:rsid w:val="00D119C6"/>
    <w:rsid w:val="00D13DF1"/>
    <w:rsid w:val="00D13E4D"/>
    <w:rsid w:val="00D13F19"/>
    <w:rsid w:val="00D3506B"/>
    <w:rsid w:val="00D412D9"/>
    <w:rsid w:val="00D50BD2"/>
    <w:rsid w:val="00D57014"/>
    <w:rsid w:val="00D61631"/>
    <w:rsid w:val="00D7242A"/>
    <w:rsid w:val="00D744E2"/>
    <w:rsid w:val="00D7763A"/>
    <w:rsid w:val="00D91FFD"/>
    <w:rsid w:val="00D94BC0"/>
    <w:rsid w:val="00D94C88"/>
    <w:rsid w:val="00D96823"/>
    <w:rsid w:val="00DA00C7"/>
    <w:rsid w:val="00DA3F7D"/>
    <w:rsid w:val="00DB773D"/>
    <w:rsid w:val="00DE511C"/>
    <w:rsid w:val="00DE524E"/>
    <w:rsid w:val="00DF23BE"/>
    <w:rsid w:val="00DF3923"/>
    <w:rsid w:val="00DF4828"/>
    <w:rsid w:val="00DF576B"/>
    <w:rsid w:val="00E02E6B"/>
    <w:rsid w:val="00E117C4"/>
    <w:rsid w:val="00E14186"/>
    <w:rsid w:val="00E22641"/>
    <w:rsid w:val="00E253ED"/>
    <w:rsid w:val="00E44A1A"/>
    <w:rsid w:val="00E45D1D"/>
    <w:rsid w:val="00E559D1"/>
    <w:rsid w:val="00E55A19"/>
    <w:rsid w:val="00E6221B"/>
    <w:rsid w:val="00E62B02"/>
    <w:rsid w:val="00E652F5"/>
    <w:rsid w:val="00E66884"/>
    <w:rsid w:val="00E81F69"/>
    <w:rsid w:val="00E8385E"/>
    <w:rsid w:val="00E90C28"/>
    <w:rsid w:val="00EB41FB"/>
    <w:rsid w:val="00EB4BE8"/>
    <w:rsid w:val="00EB4F2D"/>
    <w:rsid w:val="00EB5971"/>
    <w:rsid w:val="00ED65AC"/>
    <w:rsid w:val="00EF0F1B"/>
    <w:rsid w:val="00EF2D07"/>
    <w:rsid w:val="00EF5CA4"/>
    <w:rsid w:val="00F10B8B"/>
    <w:rsid w:val="00F117D0"/>
    <w:rsid w:val="00F14B3F"/>
    <w:rsid w:val="00F24D0F"/>
    <w:rsid w:val="00F2602D"/>
    <w:rsid w:val="00F32F29"/>
    <w:rsid w:val="00F4520B"/>
    <w:rsid w:val="00F556FE"/>
    <w:rsid w:val="00F57137"/>
    <w:rsid w:val="00F571E1"/>
    <w:rsid w:val="00F74080"/>
    <w:rsid w:val="00F9385A"/>
    <w:rsid w:val="00F9461D"/>
    <w:rsid w:val="00F949EE"/>
    <w:rsid w:val="00F94A92"/>
    <w:rsid w:val="00FA3546"/>
    <w:rsid w:val="00FB5291"/>
    <w:rsid w:val="00FB7382"/>
    <w:rsid w:val="00FD31CC"/>
    <w:rsid w:val="00FE2B59"/>
    <w:rsid w:val="00FF1863"/>
    <w:rsid w:val="00FF342C"/>
    <w:rsid w:val="00FF60D2"/>
    <w:rsid w:val="08756DDE"/>
    <w:rsid w:val="0996AAF7"/>
    <w:rsid w:val="0FC01EA9"/>
    <w:rsid w:val="121B3931"/>
    <w:rsid w:val="136DCCC1"/>
    <w:rsid w:val="1F59571F"/>
    <w:rsid w:val="2290F7E1"/>
    <w:rsid w:val="242CC842"/>
    <w:rsid w:val="26F4AA3A"/>
    <w:rsid w:val="2A2C4AFC"/>
    <w:rsid w:val="2BC81B5D"/>
    <w:rsid w:val="2EC76D7B"/>
    <w:rsid w:val="332B1FD4"/>
    <w:rsid w:val="4203F730"/>
    <w:rsid w:val="458BF800"/>
    <w:rsid w:val="45AD26C1"/>
    <w:rsid w:val="46D76853"/>
    <w:rsid w:val="49F4FC96"/>
    <w:rsid w:val="4A0F0915"/>
    <w:rsid w:val="4BAAD976"/>
    <w:rsid w:val="4E207A24"/>
    <w:rsid w:val="5B513E76"/>
    <w:rsid w:val="5C9B97D6"/>
    <w:rsid w:val="5E376837"/>
    <w:rsid w:val="61BF6907"/>
    <w:rsid w:val="687438F2"/>
    <w:rsid w:val="6AA62C75"/>
    <w:rsid w:val="7A244EB8"/>
    <w:rsid w:val="7A6AD9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1EA9"/>
  <w15:chartTrackingRefBased/>
  <w15:docId w15:val="{006AFA09-D329-42A0-8E90-C60C963E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2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D412D9"/>
    <w:rPr>
      <w:rFonts w:ascii="Times New Roman" w:eastAsia="Times New Roman" w:hAnsi="Times New Roman" w:cs="Times New Roman"/>
      <w:b/>
      <w:bCs/>
      <w:kern w:val="36"/>
      <w:sz w:val="48"/>
      <w:szCs w:val="48"/>
      <w:lang w:val="en-GB" w:eastAsia="en-GB"/>
    </w:rPr>
  </w:style>
  <w:style w:type="character" w:styleId="UnresolvedMention">
    <w:name w:val="Unresolved Mention"/>
    <w:basedOn w:val="DefaultParagraphFont"/>
    <w:uiPriority w:val="99"/>
    <w:semiHidden/>
    <w:unhideWhenUsed/>
    <w:rsid w:val="00C66A4F"/>
    <w:rPr>
      <w:color w:val="605E5C"/>
      <w:shd w:val="clear" w:color="auto" w:fill="E1DFDD"/>
    </w:rPr>
  </w:style>
  <w:style w:type="character" w:customStyle="1" w:styleId="highwire-citation-authors">
    <w:name w:val="highwire-citation-authors"/>
    <w:basedOn w:val="DefaultParagraphFont"/>
    <w:rsid w:val="00BD4785"/>
  </w:style>
  <w:style w:type="character" w:customStyle="1" w:styleId="highwire-citation-author">
    <w:name w:val="highwire-citation-author"/>
    <w:basedOn w:val="DefaultParagraphFont"/>
    <w:rsid w:val="00BD4785"/>
  </w:style>
  <w:style w:type="character" w:customStyle="1" w:styleId="nlm-surname">
    <w:name w:val="nlm-surname"/>
    <w:basedOn w:val="DefaultParagraphFont"/>
    <w:rsid w:val="00BD4785"/>
  </w:style>
  <w:style w:type="character" w:customStyle="1" w:styleId="citation-et">
    <w:name w:val="citation-et"/>
    <w:basedOn w:val="DefaultParagraphFont"/>
    <w:rsid w:val="00BD4785"/>
  </w:style>
  <w:style w:type="character" w:customStyle="1" w:styleId="highwire-cite-metadata-journal">
    <w:name w:val="highwire-cite-metadata-journal"/>
    <w:basedOn w:val="DefaultParagraphFont"/>
    <w:rsid w:val="00BD4785"/>
  </w:style>
  <w:style w:type="character" w:customStyle="1" w:styleId="highwire-cite-metadata-year">
    <w:name w:val="highwire-cite-metadata-year"/>
    <w:basedOn w:val="DefaultParagraphFont"/>
    <w:rsid w:val="00BD4785"/>
  </w:style>
  <w:style w:type="character" w:customStyle="1" w:styleId="highwire-cite-metadata-volume">
    <w:name w:val="highwire-cite-metadata-volume"/>
    <w:basedOn w:val="DefaultParagraphFont"/>
    <w:rsid w:val="00BD4785"/>
  </w:style>
  <w:style w:type="character" w:customStyle="1" w:styleId="highwire-cite-metadata-pages">
    <w:name w:val="highwire-cite-metadata-pages"/>
    <w:basedOn w:val="DefaultParagraphFont"/>
    <w:rsid w:val="00BD4785"/>
  </w:style>
  <w:style w:type="character" w:customStyle="1" w:styleId="ref-title">
    <w:name w:val="ref-title"/>
    <w:basedOn w:val="DefaultParagraphFont"/>
    <w:rsid w:val="00D119C6"/>
  </w:style>
  <w:style w:type="character" w:customStyle="1" w:styleId="ref-journal">
    <w:name w:val="ref-journal"/>
    <w:basedOn w:val="DefaultParagraphFont"/>
    <w:rsid w:val="00F4520B"/>
  </w:style>
  <w:style w:type="character" w:customStyle="1" w:styleId="ref-vol">
    <w:name w:val="ref-vol"/>
    <w:basedOn w:val="DefaultParagraphFont"/>
    <w:rsid w:val="00F4520B"/>
  </w:style>
  <w:style w:type="paragraph" w:styleId="NormalWeb">
    <w:name w:val="Normal (Web)"/>
    <w:basedOn w:val="Normal"/>
    <w:uiPriority w:val="99"/>
    <w:semiHidden/>
    <w:unhideWhenUsed/>
    <w:rsid w:val="00DF392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F3923"/>
    <w:rPr>
      <w:b/>
      <w:bCs/>
    </w:rPr>
  </w:style>
  <w:style w:type="character" w:styleId="Emphasis">
    <w:name w:val="Emphasis"/>
    <w:basedOn w:val="DefaultParagraphFont"/>
    <w:uiPriority w:val="20"/>
    <w:qFormat/>
    <w:rsid w:val="00DF3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18487">
      <w:bodyDiv w:val="1"/>
      <w:marLeft w:val="0"/>
      <w:marRight w:val="0"/>
      <w:marTop w:val="0"/>
      <w:marBottom w:val="0"/>
      <w:divBdr>
        <w:top w:val="none" w:sz="0" w:space="0" w:color="auto"/>
        <w:left w:val="none" w:sz="0" w:space="0" w:color="auto"/>
        <w:bottom w:val="none" w:sz="0" w:space="0" w:color="auto"/>
        <w:right w:val="none" w:sz="0" w:space="0" w:color="auto"/>
      </w:divBdr>
    </w:div>
    <w:div w:id="603420141">
      <w:bodyDiv w:val="1"/>
      <w:marLeft w:val="0"/>
      <w:marRight w:val="0"/>
      <w:marTop w:val="0"/>
      <w:marBottom w:val="0"/>
      <w:divBdr>
        <w:top w:val="none" w:sz="0" w:space="0" w:color="auto"/>
        <w:left w:val="none" w:sz="0" w:space="0" w:color="auto"/>
        <w:bottom w:val="none" w:sz="0" w:space="0" w:color="auto"/>
        <w:right w:val="none" w:sz="0" w:space="0" w:color="auto"/>
      </w:divBdr>
      <w:divsChild>
        <w:div w:id="636491308">
          <w:marLeft w:val="0"/>
          <w:marRight w:val="0"/>
          <w:marTop w:val="0"/>
          <w:marBottom w:val="0"/>
          <w:divBdr>
            <w:top w:val="none" w:sz="0" w:space="0" w:color="auto"/>
            <w:left w:val="none" w:sz="0" w:space="0" w:color="auto"/>
            <w:bottom w:val="none" w:sz="0" w:space="0" w:color="auto"/>
            <w:right w:val="none" w:sz="0" w:space="0" w:color="auto"/>
          </w:divBdr>
        </w:div>
        <w:div w:id="651368430">
          <w:marLeft w:val="0"/>
          <w:marRight w:val="0"/>
          <w:marTop w:val="0"/>
          <w:marBottom w:val="0"/>
          <w:divBdr>
            <w:top w:val="none" w:sz="0" w:space="0" w:color="auto"/>
            <w:left w:val="none" w:sz="0" w:space="0" w:color="auto"/>
            <w:bottom w:val="none" w:sz="0" w:space="0" w:color="auto"/>
            <w:right w:val="none" w:sz="0" w:space="0" w:color="auto"/>
          </w:divBdr>
        </w:div>
        <w:div w:id="229851381">
          <w:marLeft w:val="0"/>
          <w:marRight w:val="0"/>
          <w:marTop w:val="0"/>
          <w:marBottom w:val="0"/>
          <w:divBdr>
            <w:top w:val="none" w:sz="0" w:space="0" w:color="auto"/>
            <w:left w:val="none" w:sz="0" w:space="0" w:color="auto"/>
            <w:bottom w:val="none" w:sz="0" w:space="0" w:color="auto"/>
            <w:right w:val="none" w:sz="0" w:space="0" w:color="auto"/>
          </w:divBdr>
        </w:div>
      </w:divsChild>
    </w:div>
    <w:div w:id="1319726335">
      <w:bodyDiv w:val="1"/>
      <w:marLeft w:val="0"/>
      <w:marRight w:val="0"/>
      <w:marTop w:val="0"/>
      <w:marBottom w:val="0"/>
      <w:divBdr>
        <w:top w:val="none" w:sz="0" w:space="0" w:color="auto"/>
        <w:left w:val="none" w:sz="0" w:space="0" w:color="auto"/>
        <w:bottom w:val="none" w:sz="0" w:space="0" w:color="auto"/>
        <w:right w:val="none" w:sz="0" w:space="0" w:color="auto"/>
      </w:divBdr>
    </w:div>
    <w:div w:id="18149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7149D10C1D854EB40A664D3E8528CE" ma:contentTypeVersion="17" ma:contentTypeDescription="Create a new document." ma:contentTypeScope="" ma:versionID="00cb5b1e375047af25a4352ae3cae971">
  <xsd:schema xmlns:xsd="http://www.w3.org/2001/XMLSchema" xmlns:xs="http://www.w3.org/2001/XMLSchema" xmlns:p="http://schemas.microsoft.com/office/2006/metadata/properties" xmlns:ns2="0db75e10-17a8-4cab-ac3f-d45d09c07a9c" xmlns:ns3="f4fd96df-8eb6-4905-a7ac-e7398a6d5b82" targetNamespace="http://schemas.microsoft.com/office/2006/metadata/properties" ma:root="true" ma:fieldsID="158c3c5905ddacd35f21b533ae9f38ea" ns2:_="" ns3:_="">
    <xsd:import namespace="0db75e10-17a8-4cab-ac3f-d45d09c07a9c"/>
    <xsd:import namespace="f4fd96df-8eb6-4905-a7ac-e7398a6d5b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5e10-17a8-4cab-ac3f-d45d09c07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012cb1-bc6b-48d9-9f9f-fb88ad77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d96df-8eb6-4905-a7ac-e7398a6d5b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72bc-5ae9-4b57-9d5b-96e6f0e90f47}" ma:internalName="TaxCatchAll" ma:showField="CatchAllData" ma:web="f4fd96df-8eb6-4905-a7ac-e7398a6d5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db75e10-17a8-4cab-ac3f-d45d09c07a9c" xsi:nil="true"/>
    <lcf76f155ced4ddcb4097134ff3c332f xmlns="0db75e10-17a8-4cab-ac3f-d45d09c07a9c">
      <Terms xmlns="http://schemas.microsoft.com/office/infopath/2007/PartnerControls"/>
    </lcf76f155ced4ddcb4097134ff3c332f>
    <TaxCatchAll xmlns="f4fd96df-8eb6-4905-a7ac-e7398a6d5b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73966-EDF5-4C33-935A-154D3CB9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5e10-17a8-4cab-ac3f-d45d09c07a9c"/>
    <ds:schemaRef ds:uri="f4fd96df-8eb6-4905-a7ac-e7398a6d5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A7E48-FA0D-4786-9D34-F181E30E8B08}">
  <ds:schemaRefs>
    <ds:schemaRef ds:uri="http://schemas.microsoft.com/office/2006/metadata/properties"/>
    <ds:schemaRef ds:uri="http://schemas.microsoft.com/office/infopath/2007/PartnerControls"/>
    <ds:schemaRef ds:uri="0db75e10-17a8-4cab-ac3f-d45d09c07a9c"/>
    <ds:schemaRef ds:uri="f4fd96df-8eb6-4905-a7ac-e7398a6d5b82"/>
  </ds:schemaRefs>
</ds:datastoreItem>
</file>

<file path=customXml/itemProps3.xml><?xml version="1.0" encoding="utf-8"?>
<ds:datastoreItem xmlns:ds="http://schemas.openxmlformats.org/officeDocument/2006/customXml" ds:itemID="{76B4B2EA-A5C0-4DBF-B5F7-6B76CDA76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1578</Words>
  <Characters>8998</Characters>
  <Application>Microsoft Office Word</Application>
  <DocSecurity>0</DocSecurity>
  <Lines>74</Lines>
  <Paragraphs>21</Paragraphs>
  <ScaleCrop>false</ScaleCrop>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Isabelle Shaw</dc:creator>
  <cp:keywords/>
  <dc:description/>
  <cp:lastModifiedBy>Joanna Gough</cp:lastModifiedBy>
  <cp:revision>2</cp:revision>
  <dcterms:created xsi:type="dcterms:W3CDTF">2022-08-15T15:08:00Z</dcterms:created>
  <dcterms:modified xsi:type="dcterms:W3CDTF">2022-08-15T15:08:00Z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0x010100357149D10C1D854EB40A664D3E8528CE</vt:lpwstr>
  </property>
</Properties>
</file>